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AF79E" w14:textId="138F2C1F" w:rsidR="00351C80" w:rsidRPr="002C16AF" w:rsidRDefault="00351C80" w:rsidP="002C16AF">
      <w:pPr>
        <w:pStyle w:val="Titre"/>
        <w:jc w:val="both"/>
        <w:rPr>
          <w:rFonts w:asciiTheme="majorHAnsi" w:hAnsiTheme="majorHAnsi" w:cstheme="majorHAnsi"/>
          <w:sz w:val="22"/>
          <w:szCs w:val="22"/>
        </w:rPr>
      </w:pPr>
      <w:r w:rsidRPr="002C16AF">
        <w:rPr>
          <w:rFonts w:asciiTheme="majorHAnsi" w:hAnsiTheme="majorHAnsi" w:cstheme="majorHAnsi"/>
          <w:sz w:val="22"/>
          <w:szCs w:val="22"/>
        </w:rPr>
        <w:t xml:space="preserve">A brief history of ICAHS: from surveillance methods and the science-policy interface to </w:t>
      </w:r>
      <w:r w:rsidR="004C3DF5" w:rsidRPr="002C16AF">
        <w:rPr>
          <w:rFonts w:asciiTheme="majorHAnsi" w:hAnsiTheme="majorHAnsi" w:cstheme="majorHAnsi"/>
          <w:sz w:val="22"/>
          <w:szCs w:val="22"/>
        </w:rPr>
        <w:t xml:space="preserve">evaluation of </w:t>
      </w:r>
      <w:r w:rsidRPr="002C16AF">
        <w:rPr>
          <w:rFonts w:asciiTheme="majorHAnsi" w:hAnsiTheme="majorHAnsi" w:cstheme="majorHAnsi"/>
          <w:sz w:val="22"/>
          <w:szCs w:val="22"/>
        </w:rPr>
        <w:t>impact</w:t>
      </w:r>
    </w:p>
    <w:p w14:paraId="5A063298" w14:textId="73979B06" w:rsidR="008E6F70" w:rsidRPr="002C16AF" w:rsidRDefault="000037AF" w:rsidP="002C16AF">
      <w:pPr>
        <w:jc w:val="both"/>
        <w:rPr>
          <w:rFonts w:asciiTheme="majorHAnsi" w:hAnsiTheme="majorHAnsi" w:cstheme="majorHAnsi"/>
          <w:vertAlign w:val="superscript"/>
          <w:lang w:val="fr-FR"/>
        </w:rPr>
      </w:pPr>
      <w:r w:rsidRPr="002C16AF">
        <w:rPr>
          <w:rFonts w:asciiTheme="majorHAnsi" w:hAnsiTheme="majorHAnsi" w:cstheme="majorHAnsi"/>
          <w:b/>
          <w:bCs/>
          <w:u w:val="single"/>
        </w:rPr>
        <w:t>D. Vink</w:t>
      </w:r>
      <w:r w:rsidR="005552FC" w:rsidRPr="002C16AF">
        <w:rPr>
          <w:rFonts w:asciiTheme="majorHAnsi" w:hAnsiTheme="majorHAnsi" w:cstheme="majorHAnsi"/>
          <w:b/>
          <w:bCs/>
          <w:u w:val="single"/>
          <w:vertAlign w:val="superscript"/>
        </w:rPr>
        <w:t>1</w:t>
      </w:r>
      <w:r w:rsidR="005552FC" w:rsidRPr="003A4D3C">
        <w:rPr>
          <w:rFonts w:asciiTheme="majorHAnsi" w:hAnsiTheme="majorHAnsi" w:cstheme="majorHAnsi"/>
          <w:b/>
          <w:bCs/>
          <w:color w:val="000000" w:themeColor="text1"/>
          <w:vertAlign w:val="superscript"/>
        </w:rPr>
        <w:t>*</w:t>
      </w:r>
      <w:r w:rsidR="00A10029" w:rsidRPr="003A4D3C">
        <w:rPr>
          <w:rFonts w:asciiTheme="majorHAnsi" w:hAnsiTheme="majorHAnsi" w:cstheme="majorHAnsi"/>
          <w:color w:val="000000" w:themeColor="text1"/>
        </w:rPr>
        <w:t>(</w:t>
      </w:r>
      <w:hyperlink r:id="rId5" w:history="1">
        <w:r w:rsidR="00A10029" w:rsidRPr="003A4D3C">
          <w:rPr>
            <w:rStyle w:val="Lienhypertexte"/>
            <w:rFonts w:asciiTheme="majorHAnsi" w:hAnsiTheme="majorHAnsi" w:cstheme="majorHAnsi"/>
            <w:color w:val="000000" w:themeColor="text1"/>
            <w:u w:val="none"/>
          </w:rPr>
          <w:t>daan.vink@cirad.fr</w:t>
        </w:r>
      </w:hyperlink>
      <w:r w:rsidR="00A10029" w:rsidRPr="003A4D3C">
        <w:rPr>
          <w:rFonts w:asciiTheme="majorHAnsi" w:hAnsiTheme="majorHAnsi" w:cstheme="majorHAnsi"/>
          <w:color w:val="000000" w:themeColor="text1"/>
        </w:rPr>
        <w:t xml:space="preserve">), </w:t>
      </w:r>
      <w:r w:rsidR="006C76B2" w:rsidRPr="002C16AF">
        <w:rPr>
          <w:rFonts w:asciiTheme="majorHAnsi" w:hAnsiTheme="majorHAnsi" w:cstheme="majorHAnsi"/>
        </w:rPr>
        <w:t>R. Abila</w:t>
      </w:r>
      <w:r w:rsidR="00D56706" w:rsidRPr="002C16AF">
        <w:rPr>
          <w:rFonts w:asciiTheme="majorHAnsi" w:hAnsiTheme="majorHAnsi" w:cstheme="majorHAnsi"/>
          <w:vertAlign w:val="superscript"/>
        </w:rPr>
        <w:t>2</w:t>
      </w:r>
      <w:r w:rsidR="008C0817" w:rsidRPr="002C16AF">
        <w:rPr>
          <w:rFonts w:asciiTheme="majorHAnsi" w:hAnsiTheme="majorHAnsi" w:cstheme="majorHAnsi"/>
        </w:rPr>
        <w:t>, L. Alban</w:t>
      </w:r>
      <w:r w:rsidR="00D56706" w:rsidRPr="002C16AF">
        <w:rPr>
          <w:rFonts w:asciiTheme="majorHAnsi" w:hAnsiTheme="majorHAnsi" w:cstheme="majorHAnsi"/>
          <w:vertAlign w:val="superscript"/>
        </w:rPr>
        <w:t>3</w:t>
      </w:r>
      <w:r w:rsidR="008C0817" w:rsidRPr="002C16AF">
        <w:rPr>
          <w:rFonts w:asciiTheme="majorHAnsi" w:hAnsiTheme="majorHAnsi" w:cstheme="majorHAnsi"/>
        </w:rPr>
        <w:t>, V. Brookes</w:t>
      </w:r>
      <w:r w:rsidR="00D56706" w:rsidRPr="002C16AF">
        <w:rPr>
          <w:rFonts w:asciiTheme="majorHAnsi" w:hAnsiTheme="majorHAnsi" w:cstheme="majorHAnsi"/>
          <w:vertAlign w:val="superscript"/>
        </w:rPr>
        <w:t>4</w:t>
      </w:r>
      <w:r w:rsidR="008C0817" w:rsidRPr="002C16AF">
        <w:rPr>
          <w:rFonts w:asciiTheme="majorHAnsi" w:hAnsiTheme="majorHAnsi" w:cstheme="majorHAnsi"/>
        </w:rPr>
        <w:t>, C. Caraguel</w:t>
      </w:r>
      <w:r w:rsidR="00D56706" w:rsidRPr="002C16AF">
        <w:rPr>
          <w:rFonts w:asciiTheme="majorHAnsi" w:hAnsiTheme="majorHAnsi" w:cstheme="majorHAnsi"/>
          <w:vertAlign w:val="superscript"/>
        </w:rPr>
        <w:t>4</w:t>
      </w:r>
      <w:r w:rsidR="008C0817" w:rsidRPr="002C16AF">
        <w:rPr>
          <w:rFonts w:asciiTheme="majorHAnsi" w:hAnsiTheme="majorHAnsi" w:cstheme="majorHAnsi"/>
        </w:rPr>
        <w:t>, F. D</w:t>
      </w:r>
      <w:r w:rsidR="000E36AC" w:rsidRPr="002C16AF">
        <w:rPr>
          <w:rFonts w:asciiTheme="majorHAnsi" w:hAnsiTheme="majorHAnsi" w:cstheme="majorHAnsi"/>
        </w:rPr>
        <w:t>ó</w:t>
      </w:r>
      <w:r w:rsidR="008C0817" w:rsidRPr="002C16AF">
        <w:rPr>
          <w:rFonts w:asciiTheme="majorHAnsi" w:hAnsiTheme="majorHAnsi" w:cstheme="majorHAnsi"/>
        </w:rPr>
        <w:t>rea</w:t>
      </w:r>
      <w:r w:rsidR="00D56706" w:rsidRPr="002C16AF">
        <w:rPr>
          <w:rFonts w:asciiTheme="majorHAnsi" w:hAnsiTheme="majorHAnsi" w:cstheme="majorHAnsi"/>
          <w:vertAlign w:val="superscript"/>
        </w:rPr>
        <w:t>5</w:t>
      </w:r>
      <w:r w:rsidR="008C0817" w:rsidRPr="002C16AF">
        <w:rPr>
          <w:rFonts w:asciiTheme="majorHAnsi" w:hAnsiTheme="majorHAnsi" w:cstheme="majorHAnsi"/>
        </w:rPr>
        <w:t>, J. Ellis-Iversen</w:t>
      </w:r>
      <w:r w:rsidR="00D56706" w:rsidRPr="002C16AF">
        <w:rPr>
          <w:rFonts w:asciiTheme="majorHAnsi" w:hAnsiTheme="majorHAnsi" w:cstheme="majorHAnsi"/>
          <w:vertAlign w:val="superscript"/>
        </w:rPr>
        <w:t>3</w:t>
      </w:r>
      <w:r w:rsidR="008C0817" w:rsidRPr="002C16AF">
        <w:rPr>
          <w:rFonts w:asciiTheme="majorHAnsi" w:hAnsiTheme="majorHAnsi" w:cstheme="majorHAnsi"/>
        </w:rPr>
        <w:t>, F. Goutard</w:t>
      </w:r>
      <w:r w:rsidR="00D56706" w:rsidRPr="002C16AF">
        <w:rPr>
          <w:rFonts w:asciiTheme="majorHAnsi" w:hAnsiTheme="majorHAnsi" w:cstheme="majorHAnsi"/>
          <w:vertAlign w:val="superscript"/>
        </w:rPr>
        <w:t>6</w:t>
      </w:r>
      <w:r w:rsidR="008C0817" w:rsidRPr="002C16AF">
        <w:rPr>
          <w:rFonts w:asciiTheme="majorHAnsi" w:hAnsiTheme="majorHAnsi" w:cstheme="majorHAnsi"/>
        </w:rPr>
        <w:t>, G</w:t>
      </w:r>
      <w:r w:rsidR="000F6472" w:rsidRPr="002C16AF">
        <w:rPr>
          <w:rFonts w:asciiTheme="majorHAnsi" w:hAnsiTheme="majorHAnsi" w:cstheme="majorHAnsi"/>
        </w:rPr>
        <w:t>aël</w:t>
      </w:r>
      <w:r w:rsidR="008C0817" w:rsidRPr="002C16AF">
        <w:rPr>
          <w:rFonts w:asciiTheme="majorHAnsi" w:hAnsiTheme="majorHAnsi" w:cstheme="majorHAnsi"/>
        </w:rPr>
        <w:t xml:space="preserve">. </w:t>
      </w:r>
      <w:r w:rsidR="008C0817" w:rsidRPr="002C16AF">
        <w:rPr>
          <w:rFonts w:asciiTheme="majorHAnsi" w:hAnsiTheme="majorHAnsi" w:cstheme="majorHAnsi"/>
          <w:lang w:val="fr-FR"/>
        </w:rPr>
        <w:t>Lamielle</w:t>
      </w:r>
      <w:r w:rsidR="00D56706" w:rsidRPr="002C16AF">
        <w:rPr>
          <w:rFonts w:asciiTheme="majorHAnsi" w:hAnsiTheme="majorHAnsi" w:cstheme="majorHAnsi"/>
          <w:vertAlign w:val="superscript"/>
          <w:lang w:val="fr-FR"/>
        </w:rPr>
        <w:t>7</w:t>
      </w:r>
      <w:r w:rsidR="008C0817" w:rsidRPr="002C16AF">
        <w:rPr>
          <w:rFonts w:asciiTheme="majorHAnsi" w:hAnsiTheme="majorHAnsi" w:cstheme="majorHAnsi"/>
          <w:lang w:val="fr-FR"/>
        </w:rPr>
        <w:t xml:space="preserve">, </w:t>
      </w:r>
      <w:r w:rsidR="003A4D3C">
        <w:rPr>
          <w:rFonts w:asciiTheme="majorHAnsi" w:hAnsiTheme="majorHAnsi" w:cstheme="majorHAnsi"/>
          <w:lang w:val="fr-FR"/>
        </w:rPr>
        <w:br/>
      </w:r>
      <w:r w:rsidR="008C0817" w:rsidRPr="002C16AF">
        <w:rPr>
          <w:rFonts w:asciiTheme="majorHAnsi" w:hAnsiTheme="majorHAnsi" w:cstheme="majorHAnsi"/>
          <w:lang w:val="fr-FR"/>
        </w:rPr>
        <w:t>P. Mugabe</w:t>
      </w:r>
      <w:r w:rsidR="00D56706" w:rsidRPr="002C16AF">
        <w:rPr>
          <w:rFonts w:asciiTheme="majorHAnsi" w:hAnsiTheme="majorHAnsi" w:cstheme="majorHAnsi"/>
          <w:vertAlign w:val="superscript"/>
          <w:lang w:val="fr-FR"/>
        </w:rPr>
        <w:t>8</w:t>
      </w:r>
      <w:r w:rsidR="00292300" w:rsidRPr="002C16AF">
        <w:rPr>
          <w:rFonts w:asciiTheme="majorHAnsi" w:hAnsiTheme="majorHAnsi" w:cstheme="majorHAnsi"/>
          <w:lang w:val="fr-FR"/>
        </w:rPr>
        <w:t>, H. Nguyen Viet</w:t>
      </w:r>
      <w:r w:rsidR="00D56706" w:rsidRPr="002C16AF">
        <w:rPr>
          <w:rFonts w:asciiTheme="majorHAnsi" w:hAnsiTheme="majorHAnsi" w:cstheme="majorHAnsi"/>
          <w:vertAlign w:val="superscript"/>
          <w:lang w:val="fr-FR"/>
        </w:rPr>
        <w:t>9</w:t>
      </w:r>
      <w:r w:rsidR="00292300" w:rsidRPr="002C16AF">
        <w:rPr>
          <w:rFonts w:asciiTheme="majorHAnsi" w:hAnsiTheme="majorHAnsi" w:cstheme="majorHAnsi"/>
          <w:lang w:val="fr-FR"/>
        </w:rPr>
        <w:t>, C. Verdugo</w:t>
      </w:r>
      <w:r w:rsidR="00D56706" w:rsidRPr="002C16AF">
        <w:rPr>
          <w:rFonts w:asciiTheme="majorHAnsi" w:hAnsiTheme="majorHAnsi" w:cstheme="majorHAnsi"/>
          <w:vertAlign w:val="superscript"/>
          <w:lang w:val="fr-FR"/>
        </w:rPr>
        <w:t>10</w:t>
      </w:r>
    </w:p>
    <w:p w14:paraId="72CBD0D2" w14:textId="77777777" w:rsidR="00640F77" w:rsidRPr="002C16AF" w:rsidRDefault="00640F77" w:rsidP="002C16AF">
      <w:pPr>
        <w:jc w:val="both"/>
        <w:rPr>
          <w:rFonts w:asciiTheme="majorHAnsi" w:hAnsiTheme="majorHAnsi" w:cstheme="majorHAnsi"/>
          <w:lang w:val="fr-FR"/>
        </w:rPr>
      </w:pPr>
    </w:p>
    <w:p w14:paraId="37477517" w14:textId="59D88D0F" w:rsidR="005552FC" w:rsidRPr="002C16AF" w:rsidRDefault="00D56706" w:rsidP="002C16AF">
      <w:pPr>
        <w:jc w:val="both"/>
        <w:rPr>
          <w:rFonts w:asciiTheme="majorHAnsi" w:hAnsiTheme="majorHAnsi" w:cstheme="majorHAnsi"/>
          <w:lang w:val="fr-FR"/>
        </w:rPr>
      </w:pPr>
      <w:r w:rsidRPr="002C16AF">
        <w:rPr>
          <w:rFonts w:asciiTheme="majorHAnsi" w:hAnsiTheme="majorHAnsi" w:cstheme="majorHAnsi"/>
          <w:vertAlign w:val="superscript"/>
          <w:lang w:val="fr-FR"/>
        </w:rPr>
        <w:t>1</w:t>
      </w:r>
      <w:r w:rsidR="002C16AF">
        <w:rPr>
          <w:rFonts w:asciiTheme="majorHAnsi" w:hAnsiTheme="majorHAnsi" w:cstheme="majorHAnsi"/>
          <w:vertAlign w:val="superscript"/>
          <w:lang w:val="fr-FR"/>
        </w:rPr>
        <w:t xml:space="preserve"> </w:t>
      </w:r>
      <w:proofErr w:type="spellStart"/>
      <w:r w:rsidR="00ED5B57" w:rsidRPr="002C16AF">
        <w:rPr>
          <w:rFonts w:asciiTheme="majorHAnsi" w:hAnsiTheme="majorHAnsi" w:cstheme="majorHAnsi"/>
          <w:lang w:val="fr-FR"/>
        </w:rPr>
        <w:t>C</w:t>
      </w:r>
      <w:r w:rsidR="005552FC" w:rsidRPr="002C16AF">
        <w:rPr>
          <w:rFonts w:asciiTheme="majorHAnsi" w:hAnsiTheme="majorHAnsi" w:cstheme="majorHAnsi"/>
          <w:lang w:val="fr-FR"/>
        </w:rPr>
        <w:t>irad</w:t>
      </w:r>
      <w:proofErr w:type="spellEnd"/>
      <w:r w:rsidR="005552FC" w:rsidRPr="002C16AF">
        <w:rPr>
          <w:rFonts w:asciiTheme="majorHAnsi" w:hAnsiTheme="majorHAnsi" w:cstheme="majorHAnsi"/>
          <w:lang w:val="fr-FR"/>
        </w:rPr>
        <w:t>, Montpellier, France</w:t>
      </w:r>
    </w:p>
    <w:p w14:paraId="6FA780A6" w14:textId="63A8501D" w:rsidR="00ED5B57" w:rsidRPr="002C16AF" w:rsidRDefault="00D56706" w:rsidP="002C16AF">
      <w:pPr>
        <w:jc w:val="both"/>
        <w:rPr>
          <w:rFonts w:asciiTheme="majorHAnsi" w:hAnsiTheme="majorHAnsi" w:cstheme="majorHAnsi"/>
        </w:rPr>
      </w:pPr>
      <w:r w:rsidRPr="002C16AF">
        <w:rPr>
          <w:rFonts w:asciiTheme="majorHAnsi" w:hAnsiTheme="majorHAnsi" w:cstheme="majorHAnsi"/>
          <w:vertAlign w:val="superscript"/>
        </w:rPr>
        <w:t>2</w:t>
      </w:r>
      <w:r w:rsidR="002C16AF">
        <w:rPr>
          <w:rFonts w:asciiTheme="majorHAnsi" w:hAnsiTheme="majorHAnsi" w:cstheme="majorHAnsi"/>
          <w:vertAlign w:val="superscript"/>
        </w:rPr>
        <w:t xml:space="preserve"> </w:t>
      </w:r>
      <w:r w:rsidR="005552FC" w:rsidRPr="002C16AF">
        <w:rPr>
          <w:rFonts w:asciiTheme="majorHAnsi" w:hAnsiTheme="majorHAnsi" w:cstheme="majorHAnsi"/>
        </w:rPr>
        <w:t xml:space="preserve">Retired; ex </w:t>
      </w:r>
      <w:r w:rsidR="00ED5B57" w:rsidRPr="002C16AF">
        <w:rPr>
          <w:rFonts w:asciiTheme="majorHAnsi" w:hAnsiTheme="majorHAnsi" w:cstheme="majorHAnsi"/>
        </w:rPr>
        <w:t>WOAH, Bangkok, Thailand</w:t>
      </w:r>
    </w:p>
    <w:p w14:paraId="07FF4EFA" w14:textId="4B16564E" w:rsidR="00ED5B57" w:rsidRPr="002C16AF" w:rsidRDefault="00D56706" w:rsidP="002C16AF">
      <w:pPr>
        <w:jc w:val="both"/>
        <w:rPr>
          <w:rFonts w:asciiTheme="majorHAnsi" w:hAnsiTheme="majorHAnsi" w:cstheme="majorHAnsi"/>
        </w:rPr>
      </w:pPr>
      <w:r w:rsidRPr="002C16AF">
        <w:rPr>
          <w:rFonts w:asciiTheme="majorHAnsi" w:hAnsiTheme="majorHAnsi" w:cstheme="majorHAnsi"/>
          <w:vertAlign w:val="superscript"/>
        </w:rPr>
        <w:t>3</w:t>
      </w:r>
      <w:r w:rsidR="002C16AF">
        <w:rPr>
          <w:rFonts w:asciiTheme="majorHAnsi" w:hAnsiTheme="majorHAnsi" w:cstheme="majorHAnsi"/>
          <w:vertAlign w:val="superscript"/>
        </w:rPr>
        <w:t xml:space="preserve"> </w:t>
      </w:r>
      <w:r w:rsidR="00ED5B57" w:rsidRPr="002C16AF">
        <w:rPr>
          <w:rFonts w:asciiTheme="majorHAnsi" w:hAnsiTheme="majorHAnsi" w:cstheme="majorHAnsi"/>
        </w:rPr>
        <w:t xml:space="preserve">Danish Agriculture </w:t>
      </w:r>
      <w:r w:rsidR="005552FC" w:rsidRPr="002C16AF">
        <w:rPr>
          <w:rFonts w:asciiTheme="majorHAnsi" w:hAnsiTheme="majorHAnsi" w:cstheme="majorHAnsi"/>
        </w:rPr>
        <w:t xml:space="preserve">and </w:t>
      </w:r>
      <w:r w:rsidR="00ED5B57" w:rsidRPr="002C16AF">
        <w:rPr>
          <w:rFonts w:asciiTheme="majorHAnsi" w:hAnsiTheme="majorHAnsi" w:cstheme="majorHAnsi"/>
        </w:rPr>
        <w:t>Food Council, Copenhagen, Denmark</w:t>
      </w:r>
    </w:p>
    <w:p w14:paraId="68858B3C" w14:textId="32F9CC26" w:rsidR="00ED5B57" w:rsidRPr="002C16AF" w:rsidRDefault="00D56706" w:rsidP="002C16AF">
      <w:pPr>
        <w:jc w:val="both"/>
        <w:rPr>
          <w:rFonts w:asciiTheme="majorHAnsi" w:hAnsiTheme="majorHAnsi" w:cstheme="majorHAnsi"/>
        </w:rPr>
      </w:pPr>
      <w:r w:rsidRPr="002C16AF">
        <w:rPr>
          <w:rFonts w:asciiTheme="majorHAnsi" w:hAnsiTheme="majorHAnsi" w:cstheme="majorHAnsi"/>
          <w:vertAlign w:val="superscript"/>
        </w:rPr>
        <w:t>4</w:t>
      </w:r>
      <w:r w:rsidR="002C16AF">
        <w:rPr>
          <w:rFonts w:asciiTheme="majorHAnsi" w:hAnsiTheme="majorHAnsi" w:cstheme="majorHAnsi"/>
          <w:vertAlign w:val="superscript"/>
        </w:rPr>
        <w:t xml:space="preserve"> </w:t>
      </w:r>
      <w:r w:rsidR="00ED5B57" w:rsidRPr="002C16AF">
        <w:rPr>
          <w:rFonts w:asciiTheme="majorHAnsi" w:hAnsiTheme="majorHAnsi" w:cstheme="majorHAnsi"/>
        </w:rPr>
        <w:t>University of Sydney, Sydney, Australia</w:t>
      </w:r>
    </w:p>
    <w:p w14:paraId="663B6266" w14:textId="3419912B" w:rsidR="00ED5B57" w:rsidRPr="002C16AF" w:rsidRDefault="00D56706" w:rsidP="002C16AF">
      <w:pPr>
        <w:jc w:val="both"/>
        <w:rPr>
          <w:rFonts w:asciiTheme="majorHAnsi" w:hAnsiTheme="majorHAnsi" w:cstheme="majorHAnsi"/>
        </w:rPr>
      </w:pPr>
      <w:r w:rsidRPr="002C16AF">
        <w:rPr>
          <w:rFonts w:asciiTheme="majorHAnsi" w:hAnsiTheme="majorHAnsi" w:cstheme="majorHAnsi"/>
          <w:vertAlign w:val="superscript"/>
        </w:rPr>
        <w:t>5</w:t>
      </w:r>
      <w:r w:rsidR="002C16AF">
        <w:rPr>
          <w:rFonts w:asciiTheme="majorHAnsi" w:hAnsiTheme="majorHAnsi" w:cstheme="majorHAnsi"/>
          <w:vertAlign w:val="superscript"/>
        </w:rPr>
        <w:t xml:space="preserve"> </w:t>
      </w:r>
      <w:r w:rsidR="00ED5B57" w:rsidRPr="002C16AF">
        <w:rPr>
          <w:rFonts w:asciiTheme="majorHAnsi" w:hAnsiTheme="majorHAnsi" w:cstheme="majorHAnsi"/>
        </w:rPr>
        <w:t>FAO, Rome, Italy</w:t>
      </w:r>
    </w:p>
    <w:p w14:paraId="0F3AC896" w14:textId="53E2DD69" w:rsidR="00ED5B57" w:rsidRPr="002C16AF" w:rsidRDefault="00D56706" w:rsidP="002C16AF">
      <w:pPr>
        <w:jc w:val="both"/>
        <w:rPr>
          <w:rFonts w:asciiTheme="majorHAnsi" w:hAnsiTheme="majorHAnsi" w:cstheme="majorHAnsi"/>
        </w:rPr>
      </w:pPr>
      <w:r w:rsidRPr="002C16AF">
        <w:rPr>
          <w:rFonts w:asciiTheme="majorHAnsi" w:hAnsiTheme="majorHAnsi" w:cstheme="majorHAnsi"/>
          <w:vertAlign w:val="superscript"/>
        </w:rPr>
        <w:t>6</w:t>
      </w:r>
      <w:r w:rsidR="002C16AF">
        <w:rPr>
          <w:rFonts w:asciiTheme="majorHAnsi" w:hAnsiTheme="majorHAnsi" w:cstheme="majorHAnsi"/>
          <w:vertAlign w:val="superscript"/>
        </w:rPr>
        <w:t xml:space="preserve"> </w:t>
      </w:r>
      <w:proofErr w:type="spellStart"/>
      <w:r w:rsidR="00ED5B57" w:rsidRPr="002C16AF">
        <w:rPr>
          <w:rFonts w:asciiTheme="majorHAnsi" w:hAnsiTheme="majorHAnsi" w:cstheme="majorHAnsi"/>
        </w:rPr>
        <w:t>Cirad</w:t>
      </w:r>
      <w:proofErr w:type="spellEnd"/>
      <w:r w:rsidR="00ED5B57" w:rsidRPr="002C16AF">
        <w:rPr>
          <w:rFonts w:asciiTheme="majorHAnsi" w:hAnsiTheme="majorHAnsi" w:cstheme="majorHAnsi"/>
        </w:rPr>
        <w:t>, Ha</w:t>
      </w:r>
      <w:r w:rsidR="00EC0FAD" w:rsidRPr="002C16AF">
        <w:rPr>
          <w:rFonts w:asciiTheme="majorHAnsi" w:hAnsiTheme="majorHAnsi" w:cstheme="majorHAnsi"/>
        </w:rPr>
        <w:t xml:space="preserve"> N</w:t>
      </w:r>
      <w:r w:rsidR="00ED5B57" w:rsidRPr="002C16AF">
        <w:rPr>
          <w:rFonts w:asciiTheme="majorHAnsi" w:hAnsiTheme="majorHAnsi" w:cstheme="majorHAnsi"/>
        </w:rPr>
        <w:t>oi, Vietnam</w:t>
      </w:r>
    </w:p>
    <w:p w14:paraId="5D2DDAB0" w14:textId="4154E73A" w:rsidR="00ED5B57" w:rsidRPr="002C16AF" w:rsidRDefault="00D56706" w:rsidP="002C16AF">
      <w:pPr>
        <w:jc w:val="both"/>
        <w:rPr>
          <w:rFonts w:asciiTheme="majorHAnsi" w:hAnsiTheme="majorHAnsi" w:cstheme="majorHAnsi"/>
        </w:rPr>
      </w:pPr>
      <w:r w:rsidRPr="002C16AF">
        <w:rPr>
          <w:rFonts w:asciiTheme="majorHAnsi" w:hAnsiTheme="majorHAnsi" w:cstheme="majorHAnsi"/>
          <w:vertAlign w:val="superscript"/>
        </w:rPr>
        <w:t>7</w:t>
      </w:r>
      <w:r w:rsidR="002C16AF">
        <w:rPr>
          <w:rFonts w:asciiTheme="majorHAnsi" w:hAnsiTheme="majorHAnsi" w:cstheme="majorHAnsi"/>
          <w:vertAlign w:val="superscript"/>
        </w:rPr>
        <w:t xml:space="preserve"> </w:t>
      </w:r>
      <w:r w:rsidR="00ED5B57" w:rsidRPr="002C16AF">
        <w:rPr>
          <w:rFonts w:asciiTheme="majorHAnsi" w:hAnsiTheme="majorHAnsi" w:cstheme="majorHAnsi"/>
        </w:rPr>
        <w:t>FAO, Bangkok, Thailand</w:t>
      </w:r>
    </w:p>
    <w:p w14:paraId="432B749E" w14:textId="71376CFD" w:rsidR="00ED5B57" w:rsidRPr="002C16AF" w:rsidRDefault="00D56706" w:rsidP="002C16AF">
      <w:pPr>
        <w:jc w:val="both"/>
        <w:rPr>
          <w:rFonts w:asciiTheme="majorHAnsi" w:hAnsiTheme="majorHAnsi" w:cstheme="majorHAnsi"/>
        </w:rPr>
      </w:pPr>
      <w:r w:rsidRPr="002C16AF">
        <w:rPr>
          <w:rFonts w:asciiTheme="majorHAnsi" w:hAnsiTheme="majorHAnsi" w:cstheme="majorHAnsi"/>
          <w:vertAlign w:val="superscript"/>
        </w:rPr>
        <w:t>8</w:t>
      </w:r>
      <w:r w:rsidR="002C16AF">
        <w:rPr>
          <w:rFonts w:asciiTheme="majorHAnsi" w:hAnsiTheme="majorHAnsi" w:cstheme="majorHAnsi"/>
          <w:vertAlign w:val="superscript"/>
        </w:rPr>
        <w:t xml:space="preserve"> </w:t>
      </w:r>
      <w:r w:rsidR="00ED5B57" w:rsidRPr="002C16AF">
        <w:rPr>
          <w:rFonts w:asciiTheme="majorHAnsi" w:hAnsiTheme="majorHAnsi" w:cstheme="majorHAnsi"/>
        </w:rPr>
        <w:t>University of Zimbabwe, Harare, Zimbabwe</w:t>
      </w:r>
    </w:p>
    <w:p w14:paraId="7525B3B4" w14:textId="765D2CB4" w:rsidR="00ED5B57" w:rsidRPr="002C16AF" w:rsidRDefault="00D56706" w:rsidP="002C16AF">
      <w:pPr>
        <w:jc w:val="both"/>
        <w:rPr>
          <w:rFonts w:asciiTheme="majorHAnsi" w:hAnsiTheme="majorHAnsi" w:cstheme="majorHAnsi"/>
        </w:rPr>
      </w:pPr>
      <w:r w:rsidRPr="002C16AF">
        <w:rPr>
          <w:rFonts w:asciiTheme="majorHAnsi" w:hAnsiTheme="majorHAnsi" w:cstheme="majorHAnsi"/>
          <w:vertAlign w:val="superscript"/>
        </w:rPr>
        <w:t>9</w:t>
      </w:r>
      <w:r w:rsidR="002C16AF">
        <w:rPr>
          <w:rFonts w:asciiTheme="majorHAnsi" w:hAnsiTheme="majorHAnsi" w:cstheme="majorHAnsi"/>
          <w:vertAlign w:val="superscript"/>
        </w:rPr>
        <w:t xml:space="preserve"> </w:t>
      </w:r>
      <w:r w:rsidR="00ED5B57" w:rsidRPr="002C16AF">
        <w:rPr>
          <w:rFonts w:asciiTheme="majorHAnsi" w:hAnsiTheme="majorHAnsi" w:cstheme="majorHAnsi"/>
        </w:rPr>
        <w:t>ILRI, Ha</w:t>
      </w:r>
      <w:r w:rsidR="00EC0FAD" w:rsidRPr="002C16AF">
        <w:rPr>
          <w:rFonts w:asciiTheme="majorHAnsi" w:hAnsiTheme="majorHAnsi" w:cstheme="majorHAnsi"/>
        </w:rPr>
        <w:t xml:space="preserve"> N</w:t>
      </w:r>
      <w:r w:rsidR="00ED5B57" w:rsidRPr="002C16AF">
        <w:rPr>
          <w:rFonts w:asciiTheme="majorHAnsi" w:hAnsiTheme="majorHAnsi" w:cstheme="majorHAnsi"/>
        </w:rPr>
        <w:t>oi, Vietnam</w:t>
      </w:r>
    </w:p>
    <w:p w14:paraId="56942564" w14:textId="6F88ECE6" w:rsidR="004E65F2" w:rsidRPr="002C16AF" w:rsidRDefault="00D56706" w:rsidP="002C16AF">
      <w:pPr>
        <w:jc w:val="both"/>
        <w:rPr>
          <w:rFonts w:asciiTheme="majorHAnsi" w:hAnsiTheme="majorHAnsi" w:cstheme="majorHAnsi"/>
        </w:rPr>
      </w:pPr>
      <w:r w:rsidRPr="002C16AF">
        <w:rPr>
          <w:rFonts w:asciiTheme="majorHAnsi" w:hAnsiTheme="majorHAnsi" w:cstheme="majorHAnsi"/>
          <w:vertAlign w:val="superscript"/>
        </w:rPr>
        <w:t>10</w:t>
      </w:r>
      <w:r w:rsidR="002C16AF">
        <w:rPr>
          <w:rFonts w:asciiTheme="majorHAnsi" w:hAnsiTheme="majorHAnsi" w:cstheme="majorHAnsi"/>
          <w:vertAlign w:val="superscript"/>
        </w:rPr>
        <w:t xml:space="preserve"> </w:t>
      </w:r>
      <w:r w:rsidR="00ED5B57" w:rsidRPr="002C16AF">
        <w:rPr>
          <w:rFonts w:asciiTheme="majorHAnsi" w:hAnsiTheme="majorHAnsi" w:cstheme="majorHAnsi"/>
        </w:rPr>
        <w:t>Universidad Austral de Chile, Santiago, Chile</w:t>
      </w:r>
    </w:p>
    <w:p w14:paraId="62764B09" w14:textId="77777777" w:rsidR="006856B3" w:rsidRPr="002C16AF" w:rsidRDefault="006856B3" w:rsidP="002C16AF">
      <w:pPr>
        <w:jc w:val="both"/>
        <w:rPr>
          <w:rFonts w:asciiTheme="majorHAnsi" w:hAnsiTheme="majorHAnsi" w:cstheme="majorHAnsi"/>
        </w:rPr>
      </w:pPr>
    </w:p>
    <w:p w14:paraId="0BE92CE3"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b/>
          <w:bCs/>
        </w:rPr>
        <w:t>Summary</w:t>
      </w:r>
    </w:p>
    <w:p w14:paraId="0B6BA8DB" w14:textId="1429C9AD" w:rsidR="00D3763B" w:rsidRPr="002C16AF" w:rsidRDefault="00D3763B" w:rsidP="002C16AF">
      <w:pPr>
        <w:pStyle w:val="Referencelist"/>
        <w:numPr>
          <w:ilvl w:val="0"/>
          <w:numId w:val="0"/>
        </w:numPr>
        <w:jc w:val="both"/>
        <w:rPr>
          <w:rFonts w:asciiTheme="majorHAnsi" w:hAnsiTheme="majorHAnsi" w:cstheme="majorHAnsi"/>
        </w:rPr>
      </w:pPr>
    </w:p>
    <w:p w14:paraId="3C39895D" w14:textId="78E3983B"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Building on the success of the first International Conference on Animal Health Surveillance (Lyon, 2011), three subsequent conferences have established ICAHS as a recognised platform to discuss operational and technical elements of animal health surveillance. As a conference which addresses topics of current relevance, ICAHS has moved with the times. Here, the Scientific Committee of the current ICAHS reflects on its evolution by conducting a descriptive thematic analysis of presentation titles from the four conference programmes: Lyon, France (2011); Havana, Cuba (2014); Rotorua, New Zealand (2017); and Copenhagen, Denmark (2022). Where the emphasis was initially on methods, models, metrics and tools, there was a subsequent shift to surveillance evaluation, discussing how surveillance could be adapted to challenging contexts, and how to involve the people who use and depend on surveillance outputs. There was also growing attention for innovations brought about by digital tools, data integration, and the emergence of One Health thinking. More recently, the conversation had progressed to translation of surveillance findings into policy and action, connecting surveillance outputs directly to decision-making, and assessing the impact and economic performance of surveillance. We reflect on current priority areas and anticipated future directions of the conference, culminating in the organisation of the fifth ICAHS conference in Ha</w:t>
      </w:r>
      <w:r w:rsidR="00EC0FAD" w:rsidRPr="002C16AF">
        <w:rPr>
          <w:rFonts w:asciiTheme="majorHAnsi" w:hAnsiTheme="majorHAnsi" w:cstheme="majorHAnsi"/>
        </w:rPr>
        <w:t xml:space="preserve"> N</w:t>
      </w:r>
      <w:r w:rsidRPr="002C16AF">
        <w:rPr>
          <w:rFonts w:asciiTheme="majorHAnsi" w:hAnsiTheme="majorHAnsi" w:cstheme="majorHAnsi"/>
        </w:rPr>
        <w:t>oi, Vietnam.</w:t>
      </w:r>
    </w:p>
    <w:p w14:paraId="06578A48" w14:textId="222AC043" w:rsidR="00D3763B" w:rsidRPr="002C16AF" w:rsidRDefault="00D3763B" w:rsidP="002C16AF">
      <w:pPr>
        <w:pStyle w:val="Referencelist"/>
        <w:numPr>
          <w:ilvl w:val="0"/>
          <w:numId w:val="0"/>
        </w:numPr>
        <w:jc w:val="both"/>
        <w:rPr>
          <w:rFonts w:asciiTheme="majorHAnsi" w:hAnsiTheme="majorHAnsi" w:cstheme="majorHAnsi"/>
        </w:rPr>
      </w:pPr>
    </w:p>
    <w:p w14:paraId="6760A94C"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b/>
          <w:bCs/>
        </w:rPr>
        <w:t>Methods</w:t>
      </w:r>
    </w:p>
    <w:p w14:paraId="024BAAD8" w14:textId="5D1E9455" w:rsidR="00D3763B" w:rsidRPr="002C16AF" w:rsidRDefault="00D3763B" w:rsidP="002C16AF">
      <w:pPr>
        <w:pStyle w:val="Referencelist"/>
        <w:numPr>
          <w:ilvl w:val="0"/>
          <w:numId w:val="0"/>
        </w:numPr>
        <w:jc w:val="both"/>
        <w:rPr>
          <w:rFonts w:asciiTheme="majorHAnsi" w:hAnsiTheme="majorHAnsi" w:cstheme="majorHAnsi"/>
        </w:rPr>
      </w:pPr>
    </w:p>
    <w:p w14:paraId="2BE5D8F7"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The conference programmes of the four ICAHS conference were compiled into a consolidated dataset listing conference year, conference themes, titles of the individual presentations, and presentation type (including oral communications, posters, and short presentations).</w:t>
      </w:r>
    </w:p>
    <w:p w14:paraId="2BC153ED" w14:textId="792D55BB" w:rsidR="00D3763B" w:rsidRPr="002C16AF" w:rsidRDefault="00D3763B" w:rsidP="002C16AF">
      <w:pPr>
        <w:pStyle w:val="Referencelist"/>
        <w:numPr>
          <w:ilvl w:val="0"/>
          <w:numId w:val="0"/>
        </w:numPr>
        <w:jc w:val="both"/>
        <w:rPr>
          <w:rFonts w:asciiTheme="majorHAnsi" w:hAnsiTheme="majorHAnsi" w:cstheme="majorHAnsi"/>
        </w:rPr>
      </w:pPr>
    </w:p>
    <w:p w14:paraId="32BD6D8F"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A descriptive thematic analysis was conducted. Themes were first summarised at conference level to identify the principal focus areas of each event. Presentation-level data were then analysed to assess relative emphasis across themes by frequency of contributions. Thematic groupings were compared chronologically to identify patterns in content and focus over time. Qualitative interpretation of recurring and emergent topics was used to construct a narrative of how ICAHS themes and priorities have evolved, and to infer broader trends in the field of health surveillance.</w:t>
      </w:r>
    </w:p>
    <w:p w14:paraId="2820E536" w14:textId="5B3EEF27" w:rsidR="00D3763B" w:rsidRPr="002C16AF" w:rsidRDefault="00D3763B" w:rsidP="002C16AF">
      <w:pPr>
        <w:pStyle w:val="Referencelist"/>
        <w:numPr>
          <w:ilvl w:val="0"/>
          <w:numId w:val="0"/>
        </w:numPr>
        <w:jc w:val="both"/>
        <w:rPr>
          <w:rFonts w:asciiTheme="majorHAnsi" w:hAnsiTheme="majorHAnsi" w:cstheme="majorHAnsi"/>
        </w:rPr>
      </w:pPr>
    </w:p>
    <w:p w14:paraId="11060F6D"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This approach drew on principles of qualitative narrative synthesis rather than quantitative meta-analysis. The goal was not statistical comparison but rather interpretation of trends in practice and scientific priorities as expressed through conference themes and presentation titles within these themes.</w:t>
      </w:r>
    </w:p>
    <w:p w14:paraId="308A9507" w14:textId="18698DB4" w:rsidR="00D3763B" w:rsidRPr="002C16AF" w:rsidRDefault="00D3763B" w:rsidP="002C16AF">
      <w:pPr>
        <w:pStyle w:val="Referencelist"/>
        <w:numPr>
          <w:ilvl w:val="0"/>
          <w:numId w:val="0"/>
        </w:numPr>
        <w:jc w:val="both"/>
        <w:rPr>
          <w:rFonts w:asciiTheme="majorHAnsi" w:hAnsiTheme="majorHAnsi" w:cstheme="majorHAnsi"/>
        </w:rPr>
      </w:pPr>
    </w:p>
    <w:p w14:paraId="4F83EB82"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b/>
          <w:bCs/>
        </w:rPr>
        <w:t>Results</w:t>
      </w:r>
    </w:p>
    <w:p w14:paraId="12EEBC63" w14:textId="246DE066" w:rsidR="00D3763B" w:rsidRPr="002C16AF" w:rsidRDefault="00D3763B" w:rsidP="002C16AF">
      <w:pPr>
        <w:pStyle w:val="Referencelist"/>
        <w:numPr>
          <w:ilvl w:val="0"/>
          <w:numId w:val="0"/>
        </w:numPr>
        <w:jc w:val="both"/>
        <w:rPr>
          <w:rFonts w:asciiTheme="majorHAnsi" w:hAnsiTheme="majorHAnsi" w:cstheme="majorHAnsi"/>
        </w:rPr>
      </w:pPr>
    </w:p>
    <w:p w14:paraId="6BBDD37D"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Table 1 summarises the numbers of presentations at each conference, stratified by conference theme and presentation type.</w:t>
      </w:r>
    </w:p>
    <w:p w14:paraId="6C676515" w14:textId="264670C3" w:rsidR="00D3763B" w:rsidRPr="002C16AF" w:rsidRDefault="00D3763B" w:rsidP="002C16AF">
      <w:pPr>
        <w:pStyle w:val="Referencelist"/>
        <w:numPr>
          <w:ilvl w:val="0"/>
          <w:numId w:val="0"/>
        </w:numPr>
        <w:jc w:val="both"/>
        <w:rPr>
          <w:rFonts w:asciiTheme="majorHAnsi" w:hAnsiTheme="majorHAnsi" w:cstheme="majorHAnsi"/>
        </w:rPr>
      </w:pPr>
    </w:p>
    <w:p w14:paraId="559DCE70"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i/>
          <w:iCs/>
        </w:rPr>
        <w:t>ICAHS 1 (2011): Establishing the technical parameters</w:t>
      </w:r>
    </w:p>
    <w:p w14:paraId="2205899D"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 xml:space="preserve">The first ICAHS conference, under the title "Challenging environment", established a strong methodological and technical focus. The main thematic areas included "Data and tools", "Optimisation", "Evaluation", "Early detection and outbreak development" and "Risk and freedom". Presentations predominantly addressed statistical and modelling approaches (e.g. Bayesian inference, scenario tree models, capture - recapture methods), and the development of digital or web-based data collection tools. A Special Issue was published in </w:t>
      </w:r>
      <w:r w:rsidRPr="002C16AF">
        <w:rPr>
          <w:rFonts w:asciiTheme="majorHAnsi" w:hAnsiTheme="majorHAnsi" w:cstheme="majorHAnsi"/>
          <w:i/>
          <w:iCs/>
        </w:rPr>
        <w:t>Preventive Veterinary Medicine</w:t>
      </w:r>
      <w:r w:rsidRPr="002C16AF">
        <w:rPr>
          <w:rFonts w:asciiTheme="majorHAnsi" w:hAnsiTheme="majorHAnsi" w:cstheme="majorHAnsi"/>
        </w:rPr>
        <w:t xml:space="preserve"> (1); an additional workshop on the standardisation of surveillance terminologies led to another publication (2).</w:t>
      </w:r>
    </w:p>
    <w:p w14:paraId="497D073A" w14:textId="7760BC28" w:rsidR="00D3763B" w:rsidRPr="002C16AF" w:rsidRDefault="00D3763B" w:rsidP="002C16AF">
      <w:pPr>
        <w:pStyle w:val="Referencelist"/>
        <w:numPr>
          <w:ilvl w:val="0"/>
          <w:numId w:val="0"/>
        </w:numPr>
        <w:jc w:val="both"/>
        <w:rPr>
          <w:rFonts w:asciiTheme="majorHAnsi" w:hAnsiTheme="majorHAnsi" w:cstheme="majorHAnsi"/>
        </w:rPr>
      </w:pPr>
    </w:p>
    <w:p w14:paraId="5C8B28F1"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This inaugural meeting reflected the state of the discipline at the time: animal health surveillance was becoming more data-driven but remained largely focused on how to collect, analyse, and interpret data efficiently and reliably. There was little emphasis on stakeholder engagement or cross-sectoral integration; the emphasis was on methodological rigour and optimisation within established systems.</w:t>
      </w:r>
    </w:p>
    <w:p w14:paraId="61AE7C77" w14:textId="551F4A22" w:rsidR="00D3763B" w:rsidRPr="002C16AF" w:rsidRDefault="00D3763B" w:rsidP="002C16AF">
      <w:pPr>
        <w:pStyle w:val="Referencelist"/>
        <w:numPr>
          <w:ilvl w:val="0"/>
          <w:numId w:val="0"/>
        </w:numPr>
        <w:jc w:val="both"/>
        <w:rPr>
          <w:rFonts w:asciiTheme="majorHAnsi" w:hAnsiTheme="majorHAnsi" w:cstheme="majorHAnsi"/>
        </w:rPr>
      </w:pPr>
    </w:p>
    <w:p w14:paraId="7DE9D60A"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i/>
          <w:iCs/>
        </w:rPr>
        <w:t>ICAHS 2 (2014): Efficiency, evaluation and inclusivity</w:t>
      </w:r>
    </w:p>
    <w:p w14:paraId="0EC544A8"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 xml:space="preserve">The second conference in Havana ("Surveillance against the odds") was challenging to organise. As reflected in the conference title and programme, the emphasis shifted towards dealing with resource constraints for implementing surveillance activities (3). There was also a move towards evaluation of surveillance performance and usefulness. The most populated themes included "Optimising surveillance designs", "Challenging populations and data", "Surveillance across the animal - public health interface" and "Involving stakeholders and </w:t>
      </w:r>
      <w:r w:rsidRPr="002C16AF">
        <w:rPr>
          <w:rFonts w:asciiTheme="majorHAnsi" w:hAnsiTheme="majorHAnsi" w:cstheme="majorHAnsi"/>
        </w:rPr>
        <w:lastRenderedPageBreak/>
        <w:t>guiding policy". Several sessions explored approaches for assessing cost-effectiveness, risk-based prioritisation, and the benefits of surveillance to trade and public health. Surveillance in resource-challenged environments acknowledged the realities of implementation in diverse settings.</w:t>
      </w:r>
    </w:p>
    <w:p w14:paraId="40E7A0CC" w14:textId="2C6BE114" w:rsidR="00D3763B" w:rsidRPr="002C16AF" w:rsidRDefault="00D3763B" w:rsidP="002C16AF">
      <w:pPr>
        <w:pStyle w:val="Referencelist"/>
        <w:numPr>
          <w:ilvl w:val="0"/>
          <w:numId w:val="0"/>
        </w:numPr>
        <w:jc w:val="both"/>
        <w:rPr>
          <w:rFonts w:asciiTheme="majorHAnsi" w:hAnsiTheme="majorHAnsi" w:cstheme="majorHAnsi"/>
        </w:rPr>
      </w:pPr>
    </w:p>
    <w:p w14:paraId="11107BB1"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 xml:space="preserve">This period marked the beginning of a more inclusive perspective: rather than treating surveillance purely as a technical exercise, ICAHS 2 reflected a growing recognition of its contextual and social dimensions. Stakeholders, </w:t>
      </w:r>
      <w:proofErr w:type="gramStart"/>
      <w:r w:rsidRPr="002C16AF">
        <w:rPr>
          <w:rFonts w:asciiTheme="majorHAnsi" w:hAnsiTheme="majorHAnsi" w:cstheme="majorHAnsi"/>
        </w:rPr>
        <w:t>policy-makers</w:t>
      </w:r>
      <w:proofErr w:type="gramEnd"/>
      <w:r w:rsidRPr="002C16AF">
        <w:rPr>
          <w:rFonts w:asciiTheme="majorHAnsi" w:hAnsiTheme="majorHAnsi" w:cstheme="majorHAnsi"/>
        </w:rPr>
        <w:t>, and communities were increasingly seen as an integral part of the surveillance system.</w:t>
      </w:r>
    </w:p>
    <w:p w14:paraId="4065F703" w14:textId="41A6973B" w:rsidR="00D3763B" w:rsidRPr="002C16AF" w:rsidRDefault="00D3763B" w:rsidP="002C16AF">
      <w:pPr>
        <w:pStyle w:val="Referencelist"/>
        <w:numPr>
          <w:ilvl w:val="0"/>
          <w:numId w:val="0"/>
        </w:numPr>
        <w:jc w:val="both"/>
        <w:rPr>
          <w:rFonts w:asciiTheme="majorHAnsi" w:hAnsiTheme="majorHAnsi" w:cstheme="majorHAnsi"/>
        </w:rPr>
      </w:pPr>
    </w:p>
    <w:p w14:paraId="22C21365"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i/>
          <w:iCs/>
        </w:rPr>
        <w:t>ICAHS 3 (2017): Innovation, integration and One Health</w:t>
      </w:r>
    </w:p>
    <w:p w14:paraId="0A6ED359"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Held in Rotorua under the title "Beyond animal health surveillance" (4), the third ICAHS marked further progression. Innovation featured prominently, with sessions dedicated to "Innovations in health surveillance design and operation", "Innovations in monitoring trends" and "Innovations in syndromic surveillance". In addition, "One Health surveillance" and "Antimicrobial resistance" appeared as explicit themes, illustrating a widening scope beyond animal health to integrated health systems. The programme also featured sessions on "Operational frameworks of health surveillance systems" and "Science and policy: a two-way street", signalling an increasing emphasis on governance and practical implementation.</w:t>
      </w:r>
    </w:p>
    <w:p w14:paraId="58AEC603" w14:textId="2F04798B" w:rsidR="00D3763B" w:rsidRPr="002C16AF" w:rsidRDefault="00D3763B" w:rsidP="002C16AF">
      <w:pPr>
        <w:pStyle w:val="Referencelist"/>
        <w:numPr>
          <w:ilvl w:val="0"/>
          <w:numId w:val="0"/>
        </w:numPr>
        <w:jc w:val="both"/>
        <w:rPr>
          <w:rFonts w:asciiTheme="majorHAnsi" w:hAnsiTheme="majorHAnsi" w:cstheme="majorHAnsi"/>
        </w:rPr>
      </w:pPr>
    </w:p>
    <w:p w14:paraId="43EF4246"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 xml:space="preserve">This edition of ICAHS illustrated how the community was moving beyond the 'bread and butter' topics to broader perspectives related to innovation and integration. Surveillance was no longer only about disease detection and early </w:t>
      </w:r>
      <w:proofErr w:type="gramStart"/>
      <w:r w:rsidRPr="002C16AF">
        <w:rPr>
          <w:rFonts w:asciiTheme="majorHAnsi" w:hAnsiTheme="majorHAnsi" w:cstheme="majorHAnsi"/>
        </w:rPr>
        <w:t>warning, but</w:t>
      </w:r>
      <w:proofErr w:type="gramEnd"/>
      <w:r w:rsidRPr="002C16AF">
        <w:rPr>
          <w:rFonts w:asciiTheme="majorHAnsi" w:hAnsiTheme="majorHAnsi" w:cstheme="majorHAnsi"/>
        </w:rPr>
        <w:t xml:space="preserve"> increasingly seen to have an important role for informing risk management and policy, addressing data limitations and linking across sectors and disciplines. The One Health perspective became a defining feature of the discourse, with discussion on how animal, human and environmental health surveillance could be integrated into interoperable frameworks.</w:t>
      </w:r>
    </w:p>
    <w:p w14:paraId="4CCE4175" w14:textId="59B78B6F" w:rsidR="00D3763B" w:rsidRPr="002C16AF" w:rsidRDefault="00D3763B" w:rsidP="002C16AF">
      <w:pPr>
        <w:pStyle w:val="Referencelist"/>
        <w:numPr>
          <w:ilvl w:val="0"/>
          <w:numId w:val="0"/>
        </w:numPr>
        <w:jc w:val="both"/>
        <w:rPr>
          <w:rFonts w:asciiTheme="majorHAnsi" w:hAnsiTheme="majorHAnsi" w:cstheme="majorHAnsi"/>
        </w:rPr>
      </w:pPr>
    </w:p>
    <w:p w14:paraId="1FB21107"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i/>
          <w:iCs/>
        </w:rPr>
        <w:t>ICAHS 4 (2022): Translation to policy and practice</w:t>
      </w:r>
    </w:p>
    <w:p w14:paraId="0D440620"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The themes of the Copenhagen conference revolved around translation and application. The overall theme, "Translating surveillance outcomes into policy and action", encapsulated this shift. High-volume thematic areas included "Surveillance data", "Integrating novel methods in surveillance", "Cross-sector and One Health surveillance" and "Translating surveillance outcomes into policy, decisions and actions". (5) Specific disease applications, such as African Swine Fever, and focus areas like emerging and epidemic diseases, demonstrated the operational relevance of surveillance.</w:t>
      </w:r>
    </w:p>
    <w:p w14:paraId="05AB9F2B" w14:textId="716CF52B" w:rsidR="00D3763B" w:rsidRPr="002C16AF" w:rsidRDefault="00D3763B" w:rsidP="002C16AF">
      <w:pPr>
        <w:pStyle w:val="Referencelist"/>
        <w:numPr>
          <w:ilvl w:val="0"/>
          <w:numId w:val="0"/>
        </w:numPr>
        <w:jc w:val="both"/>
        <w:rPr>
          <w:rFonts w:asciiTheme="majorHAnsi" w:hAnsiTheme="majorHAnsi" w:cstheme="majorHAnsi"/>
        </w:rPr>
      </w:pPr>
    </w:p>
    <w:p w14:paraId="2405E82C"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 xml:space="preserve">Reflecting its setting in a European context with </w:t>
      </w:r>
      <w:proofErr w:type="gramStart"/>
      <w:r w:rsidRPr="002C16AF">
        <w:rPr>
          <w:rFonts w:asciiTheme="majorHAnsi" w:hAnsiTheme="majorHAnsi" w:cstheme="majorHAnsi"/>
        </w:rPr>
        <w:t>highly-regulated</w:t>
      </w:r>
      <w:proofErr w:type="gramEnd"/>
      <w:r w:rsidRPr="002C16AF">
        <w:rPr>
          <w:rFonts w:asciiTheme="majorHAnsi" w:hAnsiTheme="majorHAnsi" w:cstheme="majorHAnsi"/>
        </w:rPr>
        <w:t xml:space="preserve"> production industries, the 2022 conference underscored the use of surveillance as a policy instrument: linking data to decision-making, governance and preparedness. The discussion moved firmly from innovation to implementation, consolidating surveillance as a core activity in One Health systems.</w:t>
      </w:r>
    </w:p>
    <w:p w14:paraId="11A8B8A1" w14:textId="7C065646" w:rsidR="00D3763B" w:rsidRPr="002C16AF" w:rsidRDefault="00D3763B" w:rsidP="002C16AF">
      <w:pPr>
        <w:pStyle w:val="Referencelist"/>
        <w:numPr>
          <w:ilvl w:val="0"/>
          <w:numId w:val="0"/>
        </w:numPr>
        <w:jc w:val="both"/>
        <w:rPr>
          <w:rFonts w:asciiTheme="majorHAnsi" w:hAnsiTheme="majorHAnsi" w:cstheme="majorHAnsi"/>
        </w:rPr>
      </w:pPr>
    </w:p>
    <w:p w14:paraId="10BFA766"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i/>
          <w:iCs/>
        </w:rPr>
        <w:t>Cross-cutting patterns</w:t>
      </w:r>
    </w:p>
    <w:p w14:paraId="23859C4B"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Across all four ICAHS conferences, several longitudinal trends can be observed:</w:t>
      </w:r>
    </w:p>
    <w:p w14:paraId="57C9B17A" w14:textId="15954B33" w:rsidR="00D3763B" w:rsidRPr="002C16AF" w:rsidRDefault="00D3763B" w:rsidP="002C16AF">
      <w:pPr>
        <w:pStyle w:val="Referencelist"/>
        <w:numPr>
          <w:ilvl w:val="0"/>
          <w:numId w:val="24"/>
        </w:numPr>
        <w:jc w:val="both"/>
        <w:rPr>
          <w:rFonts w:asciiTheme="majorHAnsi" w:hAnsiTheme="majorHAnsi" w:cstheme="majorHAnsi"/>
        </w:rPr>
      </w:pPr>
      <w:r w:rsidRPr="002C16AF">
        <w:rPr>
          <w:rFonts w:asciiTheme="majorHAnsi" w:hAnsiTheme="majorHAnsi" w:cstheme="majorHAnsi"/>
          <w:i/>
          <w:iCs/>
        </w:rPr>
        <w:t xml:space="preserve">Technical advances, innovation and methodological strengthening: </w:t>
      </w:r>
      <w:r w:rsidRPr="002C16AF">
        <w:rPr>
          <w:rFonts w:asciiTheme="majorHAnsi" w:hAnsiTheme="majorHAnsi" w:cstheme="majorHAnsi"/>
        </w:rPr>
        <w:t>Methodological and technological developments in the early 2010s evolved into widespread application of digital data systems, automated analytics, and modelling for decision support.</w:t>
      </w:r>
    </w:p>
    <w:p w14:paraId="6FAA730E" w14:textId="4095BB06" w:rsidR="00D3763B" w:rsidRPr="002C16AF" w:rsidRDefault="00D3763B" w:rsidP="002C16AF">
      <w:pPr>
        <w:pStyle w:val="Referencelist"/>
        <w:numPr>
          <w:ilvl w:val="0"/>
          <w:numId w:val="24"/>
        </w:numPr>
        <w:jc w:val="both"/>
        <w:rPr>
          <w:rFonts w:asciiTheme="majorHAnsi" w:hAnsiTheme="majorHAnsi" w:cstheme="majorHAnsi"/>
        </w:rPr>
      </w:pPr>
      <w:r w:rsidRPr="002C16AF">
        <w:rPr>
          <w:rFonts w:asciiTheme="majorHAnsi" w:hAnsiTheme="majorHAnsi" w:cstheme="majorHAnsi"/>
          <w:i/>
          <w:iCs/>
        </w:rPr>
        <w:t>Evaluation and value assessment of surveillance systems:</w:t>
      </w:r>
      <w:r w:rsidRPr="002C16AF">
        <w:rPr>
          <w:rFonts w:asciiTheme="majorHAnsi" w:hAnsiTheme="majorHAnsi" w:cstheme="majorHAnsi"/>
        </w:rPr>
        <w:t xml:space="preserve"> By 2014, focus expanded to include more formalised and rigorous frameworks for the evaluation of effectiveness, cost-benefit, and return on investment in surveillance.</w:t>
      </w:r>
    </w:p>
    <w:p w14:paraId="790CC2D7" w14:textId="4B349CA9" w:rsidR="00D3763B" w:rsidRPr="002C16AF" w:rsidRDefault="00D3763B" w:rsidP="002C16AF">
      <w:pPr>
        <w:pStyle w:val="Referencelist"/>
        <w:numPr>
          <w:ilvl w:val="0"/>
          <w:numId w:val="24"/>
        </w:numPr>
        <w:jc w:val="both"/>
        <w:rPr>
          <w:rFonts w:asciiTheme="majorHAnsi" w:hAnsiTheme="majorHAnsi" w:cstheme="majorHAnsi"/>
        </w:rPr>
      </w:pPr>
      <w:r w:rsidRPr="002C16AF">
        <w:rPr>
          <w:rFonts w:asciiTheme="majorHAnsi" w:hAnsiTheme="majorHAnsi" w:cstheme="majorHAnsi"/>
          <w:i/>
          <w:iCs/>
        </w:rPr>
        <w:t>Integration and interdisciplinarity:</w:t>
      </w:r>
      <w:r w:rsidRPr="002C16AF">
        <w:rPr>
          <w:rFonts w:asciiTheme="majorHAnsi" w:hAnsiTheme="majorHAnsi" w:cstheme="majorHAnsi"/>
        </w:rPr>
        <w:t xml:space="preserve"> The emergence of One Health and cross-sector themes reflects a systemic turn, connecting veterinary, human, and environmental domains.</w:t>
      </w:r>
    </w:p>
    <w:p w14:paraId="799B9B87" w14:textId="3C6AE42C" w:rsidR="00D3763B" w:rsidRPr="002C16AF" w:rsidRDefault="00D3763B" w:rsidP="002C16AF">
      <w:pPr>
        <w:pStyle w:val="Referencelist"/>
        <w:numPr>
          <w:ilvl w:val="0"/>
          <w:numId w:val="24"/>
        </w:numPr>
        <w:jc w:val="both"/>
        <w:rPr>
          <w:rFonts w:asciiTheme="majorHAnsi" w:hAnsiTheme="majorHAnsi" w:cstheme="majorHAnsi"/>
        </w:rPr>
      </w:pPr>
      <w:r w:rsidRPr="002C16AF">
        <w:rPr>
          <w:rFonts w:asciiTheme="majorHAnsi" w:hAnsiTheme="majorHAnsi" w:cstheme="majorHAnsi"/>
          <w:i/>
          <w:iCs/>
        </w:rPr>
        <w:t>From research to policy:</w:t>
      </w:r>
      <w:r w:rsidRPr="002C16AF">
        <w:rPr>
          <w:rFonts w:asciiTheme="majorHAnsi" w:hAnsiTheme="majorHAnsi" w:cstheme="majorHAnsi"/>
        </w:rPr>
        <w:t xml:space="preserve"> Across the 15-year period, there has been a continuously growing emphasis on translating evidence into policy, adapting systems to be more fit-for-purpose, developing institutional frameworks, and ensuring that surveillance outputs inform real-world decisions.</w:t>
      </w:r>
    </w:p>
    <w:p w14:paraId="61AA79C2" w14:textId="6BC05196" w:rsidR="00D3763B" w:rsidRPr="002C16AF" w:rsidRDefault="00D3763B" w:rsidP="002C16AF">
      <w:pPr>
        <w:pStyle w:val="Referencelist"/>
        <w:numPr>
          <w:ilvl w:val="0"/>
          <w:numId w:val="24"/>
        </w:numPr>
        <w:jc w:val="both"/>
        <w:rPr>
          <w:rFonts w:asciiTheme="majorHAnsi" w:hAnsiTheme="majorHAnsi" w:cstheme="majorHAnsi"/>
        </w:rPr>
      </w:pPr>
      <w:r w:rsidRPr="002C16AF">
        <w:rPr>
          <w:rFonts w:asciiTheme="majorHAnsi" w:hAnsiTheme="majorHAnsi" w:cstheme="majorHAnsi"/>
          <w:i/>
          <w:iCs/>
        </w:rPr>
        <w:t>Operationalisation and relevance:</w:t>
      </w:r>
      <w:r w:rsidRPr="002C16AF">
        <w:rPr>
          <w:rFonts w:asciiTheme="majorHAnsi" w:hAnsiTheme="majorHAnsi" w:cstheme="majorHAnsi"/>
        </w:rPr>
        <w:t xml:space="preserve"> ICAHS has always maintained its core focus on surveillance in practical contexts such as emerging disease management, AMR monitoring, and field implementation.</w:t>
      </w:r>
    </w:p>
    <w:p w14:paraId="640E0115" w14:textId="1A28ABC0" w:rsidR="00D3763B" w:rsidRPr="002C16AF" w:rsidRDefault="00D3763B" w:rsidP="002C16AF">
      <w:pPr>
        <w:pStyle w:val="Referencelist"/>
        <w:numPr>
          <w:ilvl w:val="0"/>
          <w:numId w:val="0"/>
        </w:numPr>
        <w:jc w:val="both"/>
        <w:rPr>
          <w:rFonts w:asciiTheme="majorHAnsi" w:hAnsiTheme="majorHAnsi" w:cstheme="majorHAnsi"/>
        </w:rPr>
      </w:pPr>
    </w:p>
    <w:p w14:paraId="084C7B44"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b/>
          <w:bCs/>
        </w:rPr>
        <w:t>Discussion</w:t>
      </w:r>
    </w:p>
    <w:p w14:paraId="7921A41C" w14:textId="2551A304" w:rsidR="00D3763B" w:rsidRPr="002C16AF" w:rsidRDefault="00D3763B" w:rsidP="002C16AF">
      <w:pPr>
        <w:pStyle w:val="Referencelist"/>
        <w:numPr>
          <w:ilvl w:val="0"/>
          <w:numId w:val="0"/>
        </w:numPr>
        <w:jc w:val="both"/>
        <w:rPr>
          <w:rFonts w:asciiTheme="majorHAnsi" w:hAnsiTheme="majorHAnsi" w:cstheme="majorHAnsi"/>
        </w:rPr>
      </w:pPr>
    </w:p>
    <w:p w14:paraId="1AA1C028"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The evolution of ICAHS over the previous 15 years mirrors the broader transformation of animal health surveillance from a technical and applied activity to its application as an essential and strategic component of One Health systems.</w:t>
      </w:r>
    </w:p>
    <w:p w14:paraId="4A558D48" w14:textId="47E7A81E" w:rsidR="00D3763B" w:rsidRPr="002C16AF" w:rsidRDefault="00D3763B" w:rsidP="002C16AF">
      <w:pPr>
        <w:pStyle w:val="Referencelist"/>
        <w:numPr>
          <w:ilvl w:val="0"/>
          <w:numId w:val="0"/>
        </w:numPr>
        <w:jc w:val="both"/>
        <w:rPr>
          <w:rFonts w:asciiTheme="majorHAnsi" w:hAnsiTheme="majorHAnsi" w:cstheme="majorHAnsi"/>
        </w:rPr>
      </w:pPr>
    </w:p>
    <w:p w14:paraId="4F19D953"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i/>
          <w:iCs/>
        </w:rPr>
        <w:t>From technical problem-solving to systemic integration</w:t>
      </w:r>
    </w:p>
    <w:p w14:paraId="2DB31AA6"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Initially, the community’s priority tended to be methodological, further developing and improving the practical, analytical and statistical tools that could underpin the performance of surveillance systems. Technological advancements led to the development of tools and methodologies to enhance such performance. Over time, this technical baseline was expanded to consider broader topics of relevance, such as performance evaluation and integration. This reflected a shift from operation of systems and activities to a recognition of the wider systemic context, including issues of governance, data sharing and cross-sector collaboration.</w:t>
      </w:r>
    </w:p>
    <w:p w14:paraId="4B120F72" w14:textId="1D2974AC" w:rsidR="00D3763B" w:rsidRPr="002C16AF" w:rsidRDefault="00D3763B" w:rsidP="002C16AF">
      <w:pPr>
        <w:pStyle w:val="Referencelist"/>
        <w:numPr>
          <w:ilvl w:val="0"/>
          <w:numId w:val="0"/>
        </w:numPr>
        <w:jc w:val="both"/>
        <w:rPr>
          <w:rFonts w:asciiTheme="majorHAnsi" w:hAnsiTheme="majorHAnsi" w:cstheme="majorHAnsi"/>
        </w:rPr>
      </w:pPr>
    </w:p>
    <w:p w14:paraId="0EE76AA6"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i/>
          <w:iCs/>
        </w:rPr>
        <w:t>Growing emphasis on value and decision relevance</w:t>
      </w:r>
    </w:p>
    <w:p w14:paraId="5EF31ACD"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The focus on evaluation and optimisation in the mid-2010s represented a natural response to increasing accountability pressures. Governments and international partners needed to justify surveillance investment through demonstrable benefits. ICAHS 2 and 3 both reflected this shift, showcasing frameworks for measuring the efficiency and added value of surveillance activities. By ICAHS 4, this emphasis had expanded into questions of impact: how surveillance information supports decisions, improves preparedness, and mitigates risks across animal and human health domains.</w:t>
      </w:r>
    </w:p>
    <w:p w14:paraId="2F5802AA" w14:textId="5A6DA1EE" w:rsidR="00D3763B" w:rsidRPr="002C16AF" w:rsidRDefault="00D3763B" w:rsidP="002C16AF">
      <w:pPr>
        <w:pStyle w:val="Referencelist"/>
        <w:numPr>
          <w:ilvl w:val="0"/>
          <w:numId w:val="0"/>
        </w:numPr>
        <w:jc w:val="both"/>
        <w:rPr>
          <w:rFonts w:asciiTheme="majorHAnsi" w:hAnsiTheme="majorHAnsi" w:cstheme="majorHAnsi"/>
        </w:rPr>
      </w:pPr>
    </w:p>
    <w:p w14:paraId="5E6B0594"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i/>
          <w:iCs/>
        </w:rPr>
        <w:t>The rise of One Health and data integration</w:t>
      </w:r>
    </w:p>
    <w:p w14:paraId="4AC1E617"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The prominence of One Health themes parallels developments in global health tends, including the WHO - FAO - WOAH Quadripartite collaboration, the Global Health Security Agenda, and the PREZODE initiative. Surveillance is increasingly viewed not as a sectoral task but as a collective intelligence function that integrates animal, human and environmental data. The ICAHS community has positioned itself as a driver of this transformation, fostering dialogue between disciplines that traditionally operated in silos.</w:t>
      </w:r>
    </w:p>
    <w:p w14:paraId="0BA4ECB5" w14:textId="3AEA112F" w:rsidR="00D3763B" w:rsidRPr="002C16AF" w:rsidRDefault="00D3763B" w:rsidP="002C16AF">
      <w:pPr>
        <w:pStyle w:val="Referencelist"/>
        <w:numPr>
          <w:ilvl w:val="0"/>
          <w:numId w:val="0"/>
        </w:numPr>
        <w:jc w:val="both"/>
        <w:rPr>
          <w:rFonts w:asciiTheme="majorHAnsi" w:hAnsiTheme="majorHAnsi" w:cstheme="majorHAnsi"/>
        </w:rPr>
      </w:pPr>
    </w:p>
    <w:p w14:paraId="511981E4"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i/>
          <w:iCs/>
        </w:rPr>
        <w:t>Surveillance as a policy instrument</w:t>
      </w:r>
    </w:p>
    <w:p w14:paraId="5A98F320"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Reflecting the priorities and needs of livestock production industries, the previous conference reflected a turn toward operationalisation and policy translation. This is consistent with global trends emphasizing evidence-based decision-making, early warning and pandemic preparedness. Surveillance outputs are now expected to directly inform interventions, policies, and resource allocation. As such, the field has expanded from methodological excellence to explicitly incorporate policy relevance and impact into its design.</w:t>
      </w:r>
    </w:p>
    <w:p w14:paraId="38B3F0A9" w14:textId="40A21D3A" w:rsidR="00D3763B" w:rsidRPr="002C16AF" w:rsidRDefault="00D3763B" w:rsidP="002C16AF">
      <w:pPr>
        <w:pStyle w:val="Referencelist"/>
        <w:numPr>
          <w:ilvl w:val="0"/>
          <w:numId w:val="0"/>
        </w:numPr>
        <w:jc w:val="both"/>
        <w:rPr>
          <w:rFonts w:asciiTheme="majorHAnsi" w:hAnsiTheme="majorHAnsi" w:cstheme="majorHAnsi"/>
        </w:rPr>
      </w:pPr>
    </w:p>
    <w:p w14:paraId="6A245BA8"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i/>
          <w:iCs/>
        </w:rPr>
        <w:t>Anticipated next developments</w:t>
      </w:r>
    </w:p>
    <w:p w14:paraId="0FDD3B30" w14:textId="22824D4B"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 xml:space="preserve">The themes for the upcoming conference (Ha Noi, Vietnam, 10-12 November </w:t>
      </w:r>
      <w:proofErr w:type="gramStart"/>
      <w:r w:rsidRPr="002C16AF">
        <w:rPr>
          <w:rFonts w:asciiTheme="majorHAnsi" w:hAnsiTheme="majorHAnsi" w:cstheme="majorHAnsi"/>
        </w:rPr>
        <w:t>2026)(</w:t>
      </w:r>
      <w:proofErr w:type="gramEnd"/>
      <w:r w:rsidRPr="002C16AF">
        <w:rPr>
          <w:rFonts w:asciiTheme="majorHAnsi" w:hAnsiTheme="majorHAnsi" w:cstheme="majorHAnsi"/>
        </w:rPr>
        <w:t>6) reflect the regional priorities; they further build on previous conferences by highlighting the importance of stakeholders</w:t>
      </w:r>
      <w:r w:rsidR="00AD532C" w:rsidRPr="002C16AF">
        <w:rPr>
          <w:rFonts w:asciiTheme="majorHAnsi" w:hAnsiTheme="majorHAnsi" w:cstheme="majorHAnsi"/>
        </w:rPr>
        <w:t xml:space="preserve"> and</w:t>
      </w:r>
      <w:r w:rsidRPr="002C16AF">
        <w:rPr>
          <w:rFonts w:asciiTheme="majorHAnsi" w:hAnsiTheme="majorHAnsi" w:cstheme="majorHAnsi"/>
        </w:rPr>
        <w:t xml:space="preserve"> end-users in surveillance systems, while extending science – policy – society dialogue. Further integration across sectors is expected, with stronger inclusion of public health, environmental and wildlife health surveillance. Notwithstanding this, the foundational elements of surveillance (including implementation, innovation and evaluation) will continue to be important.</w:t>
      </w:r>
    </w:p>
    <w:p w14:paraId="35345D48" w14:textId="26481C27" w:rsidR="00D3763B" w:rsidRPr="002C16AF" w:rsidRDefault="00D3763B" w:rsidP="002C16AF">
      <w:pPr>
        <w:pStyle w:val="Referencelist"/>
        <w:numPr>
          <w:ilvl w:val="0"/>
          <w:numId w:val="0"/>
        </w:numPr>
        <w:jc w:val="both"/>
        <w:rPr>
          <w:rFonts w:asciiTheme="majorHAnsi" w:hAnsiTheme="majorHAnsi" w:cstheme="majorHAnsi"/>
        </w:rPr>
      </w:pPr>
    </w:p>
    <w:p w14:paraId="34EB5984"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Extending the trajectory of ICAHS, the next phase in the story is likely to focus on measurable impact, sustainability, and resilience. Future conferences may address:</w:t>
      </w:r>
    </w:p>
    <w:p w14:paraId="43D5E5EF" w14:textId="2E9462B1" w:rsidR="00D3763B" w:rsidRPr="002C16AF" w:rsidRDefault="00D3763B" w:rsidP="002C16AF">
      <w:pPr>
        <w:pStyle w:val="Referencelist"/>
        <w:numPr>
          <w:ilvl w:val="0"/>
          <w:numId w:val="27"/>
        </w:numPr>
        <w:jc w:val="both"/>
        <w:rPr>
          <w:rFonts w:asciiTheme="majorHAnsi" w:hAnsiTheme="majorHAnsi" w:cstheme="majorHAnsi"/>
        </w:rPr>
      </w:pPr>
      <w:r w:rsidRPr="002C16AF">
        <w:rPr>
          <w:rFonts w:asciiTheme="majorHAnsi" w:hAnsiTheme="majorHAnsi" w:cstheme="majorHAnsi"/>
        </w:rPr>
        <w:t>How to quantify the contribution of surveillance to disease control and health security outcomes.</w:t>
      </w:r>
    </w:p>
    <w:p w14:paraId="7FE2D883" w14:textId="1C27FD9A" w:rsidR="00D3763B" w:rsidRPr="002C16AF" w:rsidRDefault="00D3763B" w:rsidP="002C16AF">
      <w:pPr>
        <w:pStyle w:val="Referencelist"/>
        <w:numPr>
          <w:ilvl w:val="0"/>
          <w:numId w:val="27"/>
        </w:numPr>
        <w:jc w:val="both"/>
        <w:rPr>
          <w:rFonts w:asciiTheme="majorHAnsi" w:hAnsiTheme="majorHAnsi" w:cstheme="majorHAnsi"/>
        </w:rPr>
      </w:pPr>
      <w:r w:rsidRPr="002C16AF">
        <w:rPr>
          <w:rFonts w:asciiTheme="majorHAnsi" w:hAnsiTheme="majorHAnsi" w:cstheme="majorHAnsi"/>
        </w:rPr>
        <w:t>How to practically embed surveillance functions within true One Health systems.</w:t>
      </w:r>
    </w:p>
    <w:p w14:paraId="3C991FDD" w14:textId="4538CA7F" w:rsidR="00D3763B" w:rsidRPr="002C16AF" w:rsidRDefault="00D3763B" w:rsidP="002C16AF">
      <w:pPr>
        <w:pStyle w:val="Referencelist"/>
        <w:numPr>
          <w:ilvl w:val="0"/>
          <w:numId w:val="27"/>
        </w:numPr>
        <w:jc w:val="both"/>
        <w:rPr>
          <w:rFonts w:asciiTheme="majorHAnsi" w:hAnsiTheme="majorHAnsi" w:cstheme="majorHAnsi"/>
        </w:rPr>
      </w:pPr>
      <w:r w:rsidRPr="002C16AF">
        <w:rPr>
          <w:rFonts w:asciiTheme="majorHAnsi" w:hAnsiTheme="majorHAnsi" w:cstheme="majorHAnsi"/>
        </w:rPr>
        <w:t>How to create interoperable, ethically governed data ecosystems.</w:t>
      </w:r>
    </w:p>
    <w:p w14:paraId="596827F1" w14:textId="2EBD43E7" w:rsidR="00D3763B" w:rsidRPr="002C16AF" w:rsidRDefault="00D3763B" w:rsidP="002C16AF">
      <w:pPr>
        <w:pStyle w:val="Referencelist"/>
        <w:numPr>
          <w:ilvl w:val="0"/>
          <w:numId w:val="27"/>
        </w:numPr>
        <w:jc w:val="both"/>
        <w:rPr>
          <w:rFonts w:asciiTheme="majorHAnsi" w:hAnsiTheme="majorHAnsi" w:cstheme="majorHAnsi"/>
        </w:rPr>
      </w:pPr>
      <w:r w:rsidRPr="002C16AF">
        <w:rPr>
          <w:rFonts w:asciiTheme="majorHAnsi" w:hAnsiTheme="majorHAnsi" w:cstheme="majorHAnsi"/>
        </w:rPr>
        <w:t>How to engage communities and non-traditional data contributors to enhance surveillance effectiveness.</w:t>
      </w:r>
    </w:p>
    <w:p w14:paraId="0BD12D68" w14:textId="376CD517" w:rsidR="00D3763B" w:rsidRPr="002C16AF" w:rsidRDefault="00D3763B" w:rsidP="002C16AF">
      <w:pPr>
        <w:pStyle w:val="Referencelist"/>
        <w:numPr>
          <w:ilvl w:val="0"/>
          <w:numId w:val="0"/>
        </w:numPr>
        <w:jc w:val="both"/>
        <w:rPr>
          <w:rFonts w:asciiTheme="majorHAnsi" w:hAnsiTheme="majorHAnsi" w:cstheme="majorHAnsi"/>
        </w:rPr>
      </w:pPr>
    </w:p>
    <w:p w14:paraId="72C7B4FC"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ICAHS is likely to continue to provide a platform where the intersection of surveillance science, governance and societal resilience can be explored and discussed.</w:t>
      </w:r>
    </w:p>
    <w:p w14:paraId="72772F50" w14:textId="6537B3C9" w:rsidR="00D3763B" w:rsidRPr="002C16AF" w:rsidRDefault="00D3763B" w:rsidP="002C16AF">
      <w:pPr>
        <w:pStyle w:val="Referencelist"/>
        <w:numPr>
          <w:ilvl w:val="0"/>
          <w:numId w:val="0"/>
        </w:numPr>
        <w:jc w:val="both"/>
        <w:rPr>
          <w:rFonts w:asciiTheme="majorHAnsi" w:hAnsiTheme="majorHAnsi" w:cstheme="majorHAnsi"/>
        </w:rPr>
      </w:pPr>
    </w:p>
    <w:p w14:paraId="615F155C"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b/>
          <w:bCs/>
        </w:rPr>
        <w:t>Conclusion</w:t>
      </w:r>
    </w:p>
    <w:p w14:paraId="17C349A9" w14:textId="24F91D75" w:rsidR="00D3763B" w:rsidRPr="002C16AF" w:rsidRDefault="00D3763B" w:rsidP="002C16AF">
      <w:pPr>
        <w:pStyle w:val="Referencelist"/>
        <w:numPr>
          <w:ilvl w:val="0"/>
          <w:numId w:val="0"/>
        </w:numPr>
        <w:jc w:val="both"/>
        <w:rPr>
          <w:rFonts w:asciiTheme="majorHAnsi" w:hAnsiTheme="majorHAnsi" w:cstheme="majorHAnsi"/>
        </w:rPr>
      </w:pPr>
    </w:p>
    <w:p w14:paraId="39ED86B3" w14:textId="77777777" w:rsidR="00D3763B" w:rsidRPr="002C16AF"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Over the previous 15 years, ICAHS has constructively charted (and fostered!) the evolution of animal health surveillance as both a science and a practice. The conferences have moved beyond a focus on enhancing methods, through evaluation and integration, to the practical and policy dimensions of applying surveillance in a One Health context. This trajectory mirrors the maturation of the global health surveillance ecosystem: from data generation to decision support, and more recently toward impact and resilience.</w:t>
      </w:r>
    </w:p>
    <w:p w14:paraId="6855649B" w14:textId="03EBD984" w:rsidR="00D3763B" w:rsidRPr="002C16AF" w:rsidRDefault="00D3763B" w:rsidP="002C16AF">
      <w:pPr>
        <w:pStyle w:val="Referencelist"/>
        <w:numPr>
          <w:ilvl w:val="0"/>
          <w:numId w:val="0"/>
        </w:numPr>
        <w:jc w:val="both"/>
        <w:rPr>
          <w:rFonts w:asciiTheme="majorHAnsi" w:hAnsiTheme="majorHAnsi" w:cstheme="majorHAnsi"/>
        </w:rPr>
      </w:pPr>
    </w:p>
    <w:p w14:paraId="79AA46B8" w14:textId="423B0410" w:rsidR="00D3763B" w:rsidRDefault="00D3763B" w:rsidP="002C16AF">
      <w:pPr>
        <w:pStyle w:val="Referencelist"/>
        <w:numPr>
          <w:ilvl w:val="0"/>
          <w:numId w:val="0"/>
        </w:numPr>
        <w:jc w:val="both"/>
        <w:rPr>
          <w:rFonts w:asciiTheme="majorHAnsi" w:hAnsiTheme="majorHAnsi" w:cstheme="majorHAnsi"/>
        </w:rPr>
      </w:pPr>
      <w:r w:rsidRPr="002C16AF">
        <w:rPr>
          <w:rFonts w:asciiTheme="majorHAnsi" w:hAnsiTheme="majorHAnsi" w:cstheme="majorHAnsi"/>
        </w:rPr>
        <w:t>Along this journey, ICAHS has built a strong and dedicated community of scientists and professionals passionate about all aspects of health surveillance, set in the broader context of prevention, preparedness and response to epidemic threats. Such unity of purpose must be valued in a world constantly facing new zoonotic, climatic, trade and social risks.</w:t>
      </w:r>
    </w:p>
    <w:p w14:paraId="63F02668" w14:textId="77777777" w:rsidR="002C16AF" w:rsidRDefault="002C16AF" w:rsidP="002C16AF">
      <w:pPr>
        <w:pStyle w:val="Referencelist"/>
        <w:numPr>
          <w:ilvl w:val="0"/>
          <w:numId w:val="0"/>
        </w:numPr>
        <w:jc w:val="both"/>
        <w:rPr>
          <w:rFonts w:asciiTheme="majorHAnsi" w:hAnsiTheme="majorHAnsi" w:cstheme="majorHAnsi"/>
        </w:rPr>
      </w:pPr>
    </w:p>
    <w:p w14:paraId="4CF03304" w14:textId="178CB3CE" w:rsidR="002C16AF" w:rsidRPr="002C16AF" w:rsidRDefault="002C16AF" w:rsidP="002C16AF">
      <w:pPr>
        <w:jc w:val="both"/>
        <w:rPr>
          <w:rFonts w:asciiTheme="majorHAnsi" w:hAnsiTheme="majorHAnsi" w:cstheme="majorHAnsi"/>
        </w:rPr>
      </w:pPr>
      <w:r w:rsidRPr="00F455D9">
        <w:rPr>
          <w:rFonts w:asciiTheme="majorHAnsi" w:hAnsiTheme="majorHAnsi" w:cstheme="majorHAnsi"/>
          <w:b/>
          <w:bCs/>
        </w:rPr>
        <w:t>Keywords:</w:t>
      </w:r>
      <w:r w:rsidRPr="002C16AF">
        <w:rPr>
          <w:rFonts w:asciiTheme="majorHAnsi" w:hAnsiTheme="majorHAnsi" w:cstheme="majorHAnsi"/>
          <w:b/>
          <w:bCs/>
        </w:rPr>
        <w:t xml:space="preserve"> </w:t>
      </w:r>
      <w:r>
        <w:rPr>
          <w:rFonts w:asciiTheme="majorHAnsi" w:hAnsiTheme="majorHAnsi" w:cstheme="majorHAnsi"/>
        </w:rPr>
        <w:t>H</w:t>
      </w:r>
      <w:r w:rsidRPr="002C16AF">
        <w:rPr>
          <w:rFonts w:asciiTheme="majorHAnsi" w:hAnsiTheme="majorHAnsi" w:cstheme="majorHAnsi"/>
        </w:rPr>
        <w:t>ealth surveillance</w:t>
      </w:r>
      <w:r>
        <w:rPr>
          <w:rFonts w:asciiTheme="majorHAnsi" w:hAnsiTheme="majorHAnsi" w:cstheme="majorHAnsi"/>
        </w:rPr>
        <w:t xml:space="preserve"> -</w:t>
      </w:r>
      <w:r w:rsidRPr="002C16AF">
        <w:rPr>
          <w:rFonts w:asciiTheme="majorHAnsi" w:hAnsiTheme="majorHAnsi" w:cstheme="majorHAnsi"/>
        </w:rPr>
        <w:t xml:space="preserve"> </w:t>
      </w:r>
      <w:r>
        <w:rPr>
          <w:rFonts w:asciiTheme="majorHAnsi" w:hAnsiTheme="majorHAnsi" w:cstheme="majorHAnsi"/>
        </w:rPr>
        <w:t>C</w:t>
      </w:r>
      <w:r w:rsidRPr="002C16AF">
        <w:rPr>
          <w:rFonts w:asciiTheme="majorHAnsi" w:hAnsiTheme="majorHAnsi" w:cstheme="majorHAnsi"/>
        </w:rPr>
        <w:t>onference</w:t>
      </w:r>
      <w:r>
        <w:rPr>
          <w:rFonts w:asciiTheme="majorHAnsi" w:hAnsiTheme="majorHAnsi" w:cstheme="majorHAnsi"/>
        </w:rPr>
        <w:t xml:space="preserve"> - </w:t>
      </w:r>
      <w:r w:rsidRPr="002C16AF">
        <w:rPr>
          <w:rFonts w:asciiTheme="majorHAnsi" w:hAnsiTheme="majorHAnsi" w:cstheme="majorHAnsi"/>
        </w:rPr>
        <w:t>ICAHS</w:t>
      </w:r>
      <w:r>
        <w:rPr>
          <w:rFonts w:asciiTheme="majorHAnsi" w:hAnsiTheme="majorHAnsi" w:cstheme="majorHAnsi"/>
        </w:rPr>
        <w:t>.</w:t>
      </w:r>
    </w:p>
    <w:p w14:paraId="7FC9ABF1" w14:textId="77777777" w:rsidR="00024863" w:rsidRPr="00733D83" w:rsidRDefault="00024863" w:rsidP="002C16AF">
      <w:pPr>
        <w:pStyle w:val="Referencelist"/>
        <w:numPr>
          <w:ilvl w:val="0"/>
          <w:numId w:val="0"/>
        </w:numPr>
        <w:jc w:val="both"/>
        <w:rPr>
          <w:rFonts w:asciiTheme="majorHAnsi" w:hAnsiTheme="majorHAnsi" w:cstheme="majorHAnsi"/>
          <w:szCs w:val="18"/>
        </w:rPr>
      </w:pPr>
    </w:p>
    <w:p w14:paraId="4E1222B1" w14:textId="33FF1F64" w:rsidR="00024863" w:rsidRPr="00F455D9" w:rsidRDefault="00024863" w:rsidP="002C16AF">
      <w:pPr>
        <w:jc w:val="both"/>
        <w:rPr>
          <w:rFonts w:asciiTheme="majorHAnsi" w:hAnsiTheme="majorHAnsi" w:cstheme="majorHAnsi"/>
          <w:b/>
          <w:bCs/>
          <w:szCs w:val="18"/>
        </w:rPr>
      </w:pPr>
      <w:r w:rsidRPr="00F455D9">
        <w:rPr>
          <w:rFonts w:asciiTheme="majorHAnsi" w:hAnsiTheme="majorHAnsi" w:cstheme="majorHAnsi"/>
          <w:b/>
          <w:bCs/>
          <w:szCs w:val="18"/>
        </w:rPr>
        <w:t>References</w:t>
      </w:r>
      <w:r w:rsidR="002C16AF" w:rsidRPr="00F455D9">
        <w:rPr>
          <w:rFonts w:asciiTheme="majorHAnsi" w:hAnsiTheme="majorHAnsi" w:cstheme="majorHAnsi"/>
          <w:b/>
          <w:bCs/>
          <w:szCs w:val="18"/>
        </w:rPr>
        <w:t>:</w:t>
      </w:r>
    </w:p>
    <w:p w14:paraId="5E166753" w14:textId="77777777" w:rsidR="00024863" w:rsidRPr="00733D83" w:rsidRDefault="00024863" w:rsidP="002C16AF">
      <w:pPr>
        <w:pStyle w:val="Referencelist"/>
        <w:numPr>
          <w:ilvl w:val="0"/>
          <w:numId w:val="20"/>
        </w:numPr>
        <w:ind w:left="641" w:hanging="357"/>
        <w:jc w:val="both"/>
        <w:rPr>
          <w:rFonts w:asciiTheme="majorHAnsi" w:hAnsiTheme="majorHAnsi" w:cstheme="majorHAnsi"/>
          <w:szCs w:val="18"/>
        </w:rPr>
      </w:pPr>
      <w:proofErr w:type="spellStart"/>
      <w:r w:rsidRPr="00733D83">
        <w:rPr>
          <w:rFonts w:asciiTheme="majorHAnsi" w:hAnsiTheme="majorHAnsi" w:cstheme="majorHAnsi"/>
          <w:szCs w:val="18"/>
          <w:lang w:val="fr-FR"/>
        </w:rPr>
        <w:t>Doherr</w:t>
      </w:r>
      <w:proofErr w:type="spellEnd"/>
      <w:r w:rsidRPr="00733D83">
        <w:rPr>
          <w:rFonts w:asciiTheme="majorHAnsi" w:hAnsiTheme="majorHAnsi" w:cstheme="majorHAnsi"/>
          <w:szCs w:val="18"/>
          <w:lang w:val="fr-FR"/>
        </w:rPr>
        <w:t xml:space="preserve"> et al. (2012). </w:t>
      </w:r>
      <w:r w:rsidRPr="00733D83">
        <w:rPr>
          <w:rFonts w:asciiTheme="majorHAnsi" w:hAnsiTheme="majorHAnsi" w:cstheme="majorHAnsi"/>
          <w:szCs w:val="18"/>
        </w:rPr>
        <w:t xml:space="preserve">Prev Vet Med 105(3): 165-168. </w:t>
      </w:r>
      <w:hyperlink r:id="rId6" w:history="1">
        <w:r w:rsidRPr="00733D83">
          <w:rPr>
            <w:rStyle w:val="Lienhypertexte"/>
            <w:rFonts w:asciiTheme="majorHAnsi" w:hAnsiTheme="majorHAnsi" w:cstheme="majorHAnsi"/>
            <w:szCs w:val="18"/>
          </w:rPr>
          <w:t>https://doi.org/10.1016/j.prevetmed.2012.03.014</w:t>
        </w:r>
      </w:hyperlink>
      <w:r w:rsidRPr="00733D83">
        <w:rPr>
          <w:rFonts w:asciiTheme="majorHAnsi" w:hAnsiTheme="majorHAnsi" w:cstheme="majorHAnsi"/>
          <w:szCs w:val="18"/>
        </w:rPr>
        <w:t>.</w:t>
      </w:r>
    </w:p>
    <w:p w14:paraId="1C86D3F0" w14:textId="77777777" w:rsidR="00024863" w:rsidRPr="00733D83" w:rsidRDefault="00024863" w:rsidP="002C16AF">
      <w:pPr>
        <w:pStyle w:val="Referencelist"/>
        <w:numPr>
          <w:ilvl w:val="0"/>
          <w:numId w:val="20"/>
        </w:numPr>
        <w:ind w:left="641" w:hanging="357"/>
        <w:jc w:val="both"/>
        <w:rPr>
          <w:rFonts w:asciiTheme="majorHAnsi" w:hAnsiTheme="majorHAnsi" w:cstheme="majorHAnsi"/>
          <w:szCs w:val="18"/>
        </w:rPr>
      </w:pPr>
      <w:proofErr w:type="spellStart"/>
      <w:r w:rsidRPr="00733D83">
        <w:rPr>
          <w:rFonts w:asciiTheme="majorHAnsi" w:hAnsiTheme="majorHAnsi" w:cstheme="majorHAnsi"/>
          <w:szCs w:val="18"/>
          <w:lang w:val="fr-FR"/>
        </w:rPr>
        <w:t>Hoinville</w:t>
      </w:r>
      <w:proofErr w:type="spellEnd"/>
      <w:r w:rsidRPr="00733D83">
        <w:rPr>
          <w:rFonts w:asciiTheme="majorHAnsi" w:hAnsiTheme="majorHAnsi" w:cstheme="majorHAnsi"/>
          <w:szCs w:val="18"/>
          <w:lang w:val="fr-FR"/>
        </w:rPr>
        <w:t xml:space="preserve"> et al. (2013). </w:t>
      </w:r>
      <w:proofErr w:type="spellStart"/>
      <w:r w:rsidRPr="00733D83">
        <w:rPr>
          <w:rFonts w:asciiTheme="majorHAnsi" w:hAnsiTheme="majorHAnsi" w:cstheme="majorHAnsi"/>
          <w:szCs w:val="18"/>
          <w:lang w:val="fr-FR"/>
        </w:rPr>
        <w:t>Prev</w:t>
      </w:r>
      <w:proofErr w:type="spellEnd"/>
      <w:r w:rsidRPr="00733D83">
        <w:rPr>
          <w:rFonts w:asciiTheme="majorHAnsi" w:hAnsiTheme="majorHAnsi" w:cstheme="majorHAnsi"/>
          <w:szCs w:val="18"/>
          <w:lang w:val="fr-FR"/>
        </w:rPr>
        <w:t xml:space="preserve"> </w:t>
      </w:r>
      <w:proofErr w:type="spellStart"/>
      <w:r w:rsidRPr="00733D83">
        <w:rPr>
          <w:rFonts w:asciiTheme="majorHAnsi" w:hAnsiTheme="majorHAnsi" w:cstheme="majorHAnsi"/>
          <w:szCs w:val="18"/>
          <w:lang w:val="fr-FR"/>
        </w:rPr>
        <w:t>Vet</w:t>
      </w:r>
      <w:proofErr w:type="spellEnd"/>
      <w:r w:rsidRPr="00733D83">
        <w:rPr>
          <w:rFonts w:asciiTheme="majorHAnsi" w:hAnsiTheme="majorHAnsi" w:cstheme="majorHAnsi"/>
          <w:szCs w:val="18"/>
          <w:lang w:val="fr-FR"/>
        </w:rPr>
        <w:t xml:space="preserve"> Med 112(1-2</w:t>
      </w:r>
      <w:proofErr w:type="gramStart"/>
      <w:r w:rsidRPr="00733D83">
        <w:rPr>
          <w:rFonts w:asciiTheme="majorHAnsi" w:hAnsiTheme="majorHAnsi" w:cstheme="majorHAnsi"/>
          <w:szCs w:val="18"/>
          <w:lang w:val="fr-FR"/>
        </w:rPr>
        <w:t>):</w:t>
      </w:r>
      <w:proofErr w:type="gramEnd"/>
      <w:r w:rsidRPr="00733D83">
        <w:rPr>
          <w:rFonts w:asciiTheme="majorHAnsi" w:hAnsiTheme="majorHAnsi" w:cstheme="majorHAnsi"/>
          <w:szCs w:val="18"/>
          <w:lang w:val="fr-FR"/>
        </w:rPr>
        <w:t xml:space="preserve"> 1-12. </w:t>
      </w:r>
      <w:hyperlink r:id="rId7" w:history="1">
        <w:r w:rsidRPr="00733D83">
          <w:rPr>
            <w:rStyle w:val="Lienhypertexte"/>
            <w:rFonts w:asciiTheme="majorHAnsi" w:hAnsiTheme="majorHAnsi" w:cstheme="majorHAnsi"/>
            <w:szCs w:val="18"/>
          </w:rPr>
          <w:t>https://doi.org/10.1016/j.prevetmed.2013.06.006</w:t>
        </w:r>
      </w:hyperlink>
      <w:r w:rsidRPr="00733D83">
        <w:rPr>
          <w:rFonts w:asciiTheme="majorHAnsi" w:hAnsiTheme="majorHAnsi" w:cstheme="majorHAnsi"/>
          <w:szCs w:val="18"/>
        </w:rPr>
        <w:t>.</w:t>
      </w:r>
    </w:p>
    <w:p w14:paraId="7B7D7088" w14:textId="77777777" w:rsidR="00024863" w:rsidRPr="00733D83" w:rsidRDefault="00024863" w:rsidP="002C16AF">
      <w:pPr>
        <w:pStyle w:val="Referencelist"/>
        <w:numPr>
          <w:ilvl w:val="0"/>
          <w:numId w:val="20"/>
        </w:numPr>
        <w:ind w:left="641" w:hanging="357"/>
        <w:jc w:val="both"/>
        <w:rPr>
          <w:rFonts w:asciiTheme="majorHAnsi" w:hAnsiTheme="majorHAnsi" w:cstheme="majorHAnsi"/>
          <w:szCs w:val="18"/>
        </w:rPr>
      </w:pPr>
      <w:proofErr w:type="spellStart"/>
      <w:r w:rsidRPr="00733D83">
        <w:rPr>
          <w:rFonts w:asciiTheme="majorHAnsi" w:hAnsiTheme="majorHAnsi" w:cstheme="majorHAnsi"/>
          <w:szCs w:val="18"/>
        </w:rPr>
        <w:t>CaribVET</w:t>
      </w:r>
      <w:proofErr w:type="spellEnd"/>
      <w:r w:rsidRPr="00733D83">
        <w:rPr>
          <w:rFonts w:asciiTheme="majorHAnsi" w:hAnsiTheme="majorHAnsi" w:cstheme="majorHAnsi"/>
          <w:szCs w:val="18"/>
        </w:rPr>
        <w:t xml:space="preserve"> (2014). </w:t>
      </w:r>
      <w:hyperlink r:id="rId8" w:history="1">
        <w:r w:rsidRPr="00733D83">
          <w:rPr>
            <w:rStyle w:val="Lienhypertexte"/>
            <w:rFonts w:asciiTheme="majorHAnsi" w:hAnsiTheme="majorHAnsi" w:cstheme="majorHAnsi"/>
            <w:szCs w:val="18"/>
          </w:rPr>
          <w:t>https://www.caribvet.net/meetings-conferences/conferences-events2/physical/icahs-2-cuba-5-9-may-2014</w:t>
        </w:r>
      </w:hyperlink>
      <w:r w:rsidRPr="00733D83">
        <w:rPr>
          <w:rFonts w:asciiTheme="majorHAnsi" w:hAnsiTheme="majorHAnsi" w:cstheme="majorHAnsi"/>
          <w:szCs w:val="18"/>
        </w:rPr>
        <w:t xml:space="preserve"> (Accessed 14 January 2026).</w:t>
      </w:r>
    </w:p>
    <w:p w14:paraId="16530326" w14:textId="77777777" w:rsidR="00024863" w:rsidRPr="00733D83" w:rsidRDefault="00024863" w:rsidP="002C16AF">
      <w:pPr>
        <w:pStyle w:val="Referencelist"/>
        <w:numPr>
          <w:ilvl w:val="0"/>
          <w:numId w:val="20"/>
        </w:numPr>
        <w:ind w:left="641" w:hanging="357"/>
        <w:jc w:val="both"/>
        <w:rPr>
          <w:rFonts w:asciiTheme="majorHAnsi" w:hAnsiTheme="majorHAnsi" w:cstheme="majorHAnsi"/>
          <w:szCs w:val="18"/>
        </w:rPr>
      </w:pPr>
      <w:r w:rsidRPr="00733D83">
        <w:rPr>
          <w:rFonts w:asciiTheme="majorHAnsi" w:hAnsiTheme="majorHAnsi" w:cstheme="majorHAnsi"/>
          <w:szCs w:val="18"/>
        </w:rPr>
        <w:t xml:space="preserve">New Zealand Veterinary Association (2017). </w:t>
      </w:r>
      <w:hyperlink r:id="rId9" w:history="1">
        <w:r w:rsidRPr="00733D83">
          <w:rPr>
            <w:rStyle w:val="Lienhypertexte"/>
            <w:rFonts w:asciiTheme="majorHAnsi" w:hAnsiTheme="majorHAnsi" w:cstheme="majorHAnsi"/>
            <w:szCs w:val="18"/>
          </w:rPr>
          <w:t>https://www.sciquest.org.nz/browse/publications/view/156</w:t>
        </w:r>
      </w:hyperlink>
      <w:r w:rsidRPr="00733D83">
        <w:rPr>
          <w:rFonts w:asciiTheme="majorHAnsi" w:hAnsiTheme="majorHAnsi" w:cstheme="majorHAnsi"/>
          <w:szCs w:val="18"/>
        </w:rPr>
        <w:t xml:space="preserve"> (Accessed 14 January 2026).</w:t>
      </w:r>
    </w:p>
    <w:p w14:paraId="09AC9875" w14:textId="77777777" w:rsidR="00024863" w:rsidRPr="00733D83" w:rsidRDefault="00024863" w:rsidP="002C16AF">
      <w:pPr>
        <w:pStyle w:val="Referencelist"/>
        <w:numPr>
          <w:ilvl w:val="0"/>
          <w:numId w:val="20"/>
        </w:numPr>
        <w:ind w:left="641" w:hanging="357"/>
        <w:jc w:val="both"/>
        <w:rPr>
          <w:rFonts w:asciiTheme="majorHAnsi" w:hAnsiTheme="majorHAnsi" w:cstheme="majorHAnsi"/>
          <w:szCs w:val="18"/>
        </w:rPr>
      </w:pPr>
      <w:r w:rsidRPr="00733D83">
        <w:rPr>
          <w:rFonts w:asciiTheme="majorHAnsi" w:hAnsiTheme="majorHAnsi" w:cstheme="majorHAnsi"/>
          <w:szCs w:val="18"/>
        </w:rPr>
        <w:t>4</w:t>
      </w:r>
      <w:r w:rsidRPr="00733D83">
        <w:rPr>
          <w:rFonts w:asciiTheme="majorHAnsi" w:hAnsiTheme="majorHAnsi" w:cstheme="majorHAnsi"/>
          <w:szCs w:val="18"/>
          <w:vertAlign w:val="superscript"/>
        </w:rPr>
        <w:t>th</w:t>
      </w:r>
      <w:r w:rsidRPr="00733D83">
        <w:rPr>
          <w:rFonts w:asciiTheme="majorHAnsi" w:hAnsiTheme="majorHAnsi" w:cstheme="majorHAnsi"/>
          <w:szCs w:val="18"/>
        </w:rPr>
        <w:t xml:space="preserve"> ICAHS (2022). </w:t>
      </w:r>
      <w:hyperlink r:id="rId10" w:history="1">
        <w:r w:rsidRPr="00733D83">
          <w:rPr>
            <w:rStyle w:val="Lienhypertexte"/>
            <w:rFonts w:asciiTheme="majorHAnsi" w:hAnsiTheme="majorHAnsi" w:cstheme="majorHAnsi"/>
            <w:szCs w:val="18"/>
          </w:rPr>
          <w:t>https://icahs4.org</w:t>
        </w:r>
      </w:hyperlink>
      <w:r w:rsidRPr="00733D83">
        <w:rPr>
          <w:rFonts w:asciiTheme="majorHAnsi" w:hAnsiTheme="majorHAnsi" w:cstheme="majorHAnsi"/>
          <w:szCs w:val="18"/>
        </w:rPr>
        <w:t xml:space="preserve"> (Accessed 14 January 2026).</w:t>
      </w:r>
    </w:p>
    <w:p w14:paraId="1535DAA8" w14:textId="02973E74" w:rsidR="00024863" w:rsidRPr="00733D83" w:rsidRDefault="00024863" w:rsidP="002C16AF">
      <w:pPr>
        <w:pStyle w:val="Referencelist"/>
        <w:numPr>
          <w:ilvl w:val="0"/>
          <w:numId w:val="20"/>
        </w:numPr>
        <w:ind w:left="641" w:hanging="357"/>
        <w:jc w:val="both"/>
        <w:rPr>
          <w:rFonts w:asciiTheme="majorHAnsi" w:hAnsiTheme="majorHAnsi" w:cstheme="majorHAnsi"/>
          <w:szCs w:val="18"/>
        </w:rPr>
      </w:pPr>
      <w:r w:rsidRPr="00733D83">
        <w:rPr>
          <w:rFonts w:asciiTheme="majorHAnsi" w:hAnsiTheme="majorHAnsi" w:cstheme="majorHAnsi"/>
          <w:szCs w:val="18"/>
        </w:rPr>
        <w:t>5</w:t>
      </w:r>
      <w:r w:rsidRPr="00733D83">
        <w:rPr>
          <w:rFonts w:asciiTheme="majorHAnsi" w:hAnsiTheme="majorHAnsi" w:cstheme="majorHAnsi"/>
          <w:szCs w:val="18"/>
          <w:vertAlign w:val="superscript"/>
        </w:rPr>
        <w:t>th</w:t>
      </w:r>
      <w:r w:rsidRPr="00733D83">
        <w:rPr>
          <w:rFonts w:asciiTheme="majorHAnsi" w:hAnsiTheme="majorHAnsi" w:cstheme="majorHAnsi"/>
          <w:szCs w:val="18"/>
        </w:rPr>
        <w:t xml:space="preserve"> ICAHS: Themes (2026). </w:t>
      </w:r>
      <w:hyperlink r:id="rId11" w:history="1">
        <w:r w:rsidRPr="00733D83">
          <w:rPr>
            <w:rStyle w:val="Lienhypertexte"/>
            <w:rFonts w:asciiTheme="majorHAnsi" w:hAnsiTheme="majorHAnsi" w:cstheme="majorHAnsi"/>
            <w:szCs w:val="18"/>
          </w:rPr>
          <w:t>https://www.alphavisa.com/icahs/2026/topics.php</w:t>
        </w:r>
      </w:hyperlink>
      <w:r w:rsidRPr="00733D83">
        <w:rPr>
          <w:rFonts w:asciiTheme="majorHAnsi" w:hAnsiTheme="majorHAnsi" w:cstheme="majorHAnsi"/>
          <w:szCs w:val="18"/>
        </w:rPr>
        <w:t xml:space="preserve"> (Accessed 14 January 2026).</w:t>
      </w:r>
    </w:p>
    <w:p w14:paraId="736AD2AE" w14:textId="77777777" w:rsidR="003A0B12" w:rsidRPr="002C16AF" w:rsidRDefault="003A0B12" w:rsidP="002C16AF">
      <w:pPr>
        <w:jc w:val="both"/>
        <w:rPr>
          <w:rFonts w:asciiTheme="majorHAnsi" w:hAnsiTheme="majorHAnsi" w:cstheme="majorHAnsi"/>
        </w:rPr>
      </w:pPr>
      <w:r w:rsidRPr="002C16AF">
        <w:rPr>
          <w:rFonts w:asciiTheme="majorHAnsi" w:hAnsiTheme="majorHAnsi" w:cstheme="majorHAnsi"/>
        </w:rPr>
        <w:br w:type="page"/>
      </w:r>
    </w:p>
    <w:p w14:paraId="6421504D" w14:textId="77777777" w:rsidR="003A0B12" w:rsidRPr="002C16AF" w:rsidRDefault="003A0B12" w:rsidP="002C16AF">
      <w:pPr>
        <w:jc w:val="both"/>
        <w:rPr>
          <w:rFonts w:asciiTheme="majorHAnsi" w:hAnsiTheme="majorHAnsi" w:cstheme="majorHAnsi"/>
        </w:rPr>
      </w:pPr>
      <w:r w:rsidRPr="002C16AF">
        <w:rPr>
          <w:rFonts w:asciiTheme="majorHAnsi" w:hAnsiTheme="majorHAnsi" w:cstheme="majorHAnsi"/>
        </w:rPr>
        <w:lastRenderedPageBreak/>
        <w:t>Table 1. Number of conference presentations from four ICAHS conferences, stratified by conference theme and presentation format.</w:t>
      </w:r>
    </w:p>
    <w:p w14:paraId="6D1273CF" w14:textId="77777777" w:rsidR="003A0B12" w:rsidRPr="002C16AF" w:rsidRDefault="003A0B12" w:rsidP="002C16AF">
      <w:pPr>
        <w:jc w:val="both"/>
        <w:rPr>
          <w:rFonts w:asciiTheme="majorHAnsi" w:hAnsiTheme="majorHAnsi" w:cstheme="majorHAnsi"/>
        </w:rPr>
      </w:pPr>
    </w:p>
    <w:tbl>
      <w:tblPr>
        <w:tblW w:w="10076" w:type="dxa"/>
        <w:tblLayout w:type="fixed"/>
        <w:tblCellMar>
          <w:top w:w="28" w:type="dxa"/>
          <w:left w:w="28" w:type="dxa"/>
          <w:bottom w:w="28" w:type="dxa"/>
          <w:right w:w="28" w:type="dxa"/>
        </w:tblCellMar>
        <w:tblLook w:val="04A0" w:firstRow="1" w:lastRow="0" w:firstColumn="1" w:lastColumn="0" w:noHBand="0" w:noVBand="1"/>
      </w:tblPr>
      <w:tblGrid>
        <w:gridCol w:w="961"/>
        <w:gridCol w:w="455"/>
        <w:gridCol w:w="2009"/>
        <w:gridCol w:w="950"/>
        <w:gridCol w:w="950"/>
        <w:gridCol w:w="950"/>
        <w:gridCol w:w="950"/>
        <w:gridCol w:w="950"/>
        <w:gridCol w:w="950"/>
        <w:gridCol w:w="951"/>
      </w:tblGrid>
      <w:tr w:rsidR="003A0B12" w:rsidRPr="002C16AF" w14:paraId="60BCF6DD" w14:textId="77777777" w:rsidTr="0047569E">
        <w:trPr>
          <w:trHeight w:val="83"/>
        </w:trPr>
        <w:tc>
          <w:tcPr>
            <w:tcW w:w="961" w:type="dxa"/>
            <w:vMerge w:val="restart"/>
            <w:tcBorders>
              <w:top w:val="single" w:sz="4" w:space="0" w:color="auto"/>
            </w:tcBorders>
            <w:noWrap/>
            <w:hideMark/>
          </w:tcPr>
          <w:p w14:paraId="77F1C43B" w14:textId="77777777" w:rsidR="003A0B12" w:rsidRPr="002C16AF" w:rsidRDefault="003A0B12" w:rsidP="002C16AF">
            <w:pPr>
              <w:jc w:val="both"/>
              <w:rPr>
                <w:rFonts w:asciiTheme="majorHAnsi" w:hAnsiTheme="majorHAnsi" w:cstheme="majorHAnsi"/>
                <w:b/>
                <w:bCs/>
                <w:sz w:val="16"/>
                <w:szCs w:val="16"/>
                <w:lang w:eastAsia="en-GB"/>
              </w:rPr>
            </w:pPr>
            <w:r w:rsidRPr="002C16AF">
              <w:rPr>
                <w:rFonts w:asciiTheme="majorHAnsi" w:hAnsiTheme="majorHAnsi" w:cstheme="majorHAnsi"/>
                <w:b/>
                <w:bCs/>
                <w:sz w:val="16"/>
                <w:szCs w:val="16"/>
                <w:lang w:eastAsia="en-GB"/>
              </w:rPr>
              <w:t>Conference</w:t>
            </w:r>
          </w:p>
        </w:tc>
        <w:tc>
          <w:tcPr>
            <w:tcW w:w="455" w:type="dxa"/>
            <w:vMerge w:val="restart"/>
            <w:tcBorders>
              <w:top w:val="single" w:sz="4" w:space="0" w:color="auto"/>
            </w:tcBorders>
            <w:noWrap/>
            <w:hideMark/>
          </w:tcPr>
          <w:p w14:paraId="11020B57" w14:textId="77777777" w:rsidR="003A0B12" w:rsidRPr="002C16AF" w:rsidRDefault="003A0B12" w:rsidP="002C16AF">
            <w:pPr>
              <w:jc w:val="both"/>
              <w:rPr>
                <w:rFonts w:asciiTheme="majorHAnsi" w:hAnsiTheme="majorHAnsi" w:cstheme="majorHAnsi"/>
                <w:b/>
                <w:bCs/>
                <w:sz w:val="16"/>
                <w:szCs w:val="16"/>
                <w:lang w:eastAsia="en-GB"/>
              </w:rPr>
            </w:pPr>
            <w:r w:rsidRPr="002C16AF">
              <w:rPr>
                <w:rFonts w:asciiTheme="majorHAnsi" w:hAnsiTheme="majorHAnsi" w:cstheme="majorHAnsi"/>
                <w:b/>
                <w:bCs/>
                <w:sz w:val="16"/>
                <w:szCs w:val="16"/>
                <w:lang w:eastAsia="en-GB"/>
              </w:rPr>
              <w:t>Year</w:t>
            </w:r>
          </w:p>
        </w:tc>
        <w:tc>
          <w:tcPr>
            <w:tcW w:w="2009" w:type="dxa"/>
            <w:vMerge w:val="restart"/>
            <w:tcBorders>
              <w:top w:val="single" w:sz="4" w:space="0" w:color="auto"/>
            </w:tcBorders>
            <w:noWrap/>
            <w:hideMark/>
          </w:tcPr>
          <w:p w14:paraId="1679BE7B" w14:textId="77777777" w:rsidR="003A0B12" w:rsidRPr="002C16AF" w:rsidRDefault="003A0B12" w:rsidP="002C16AF">
            <w:pPr>
              <w:jc w:val="both"/>
              <w:rPr>
                <w:rFonts w:asciiTheme="majorHAnsi" w:hAnsiTheme="majorHAnsi" w:cstheme="majorHAnsi"/>
                <w:b/>
                <w:bCs/>
                <w:sz w:val="16"/>
                <w:szCs w:val="16"/>
                <w:lang w:eastAsia="en-GB"/>
              </w:rPr>
            </w:pPr>
            <w:r w:rsidRPr="002C16AF">
              <w:rPr>
                <w:rFonts w:asciiTheme="majorHAnsi" w:hAnsiTheme="majorHAnsi" w:cstheme="majorHAnsi"/>
                <w:b/>
                <w:bCs/>
                <w:sz w:val="16"/>
                <w:szCs w:val="16"/>
                <w:lang w:eastAsia="en-GB"/>
              </w:rPr>
              <w:t>Theme</w:t>
            </w:r>
          </w:p>
        </w:tc>
        <w:tc>
          <w:tcPr>
            <w:tcW w:w="6651" w:type="dxa"/>
            <w:gridSpan w:val="7"/>
            <w:tcBorders>
              <w:top w:val="single" w:sz="4" w:space="0" w:color="auto"/>
              <w:bottom w:val="single" w:sz="4" w:space="0" w:color="auto"/>
            </w:tcBorders>
            <w:noWrap/>
            <w:hideMark/>
          </w:tcPr>
          <w:p w14:paraId="578D3F29" w14:textId="77777777" w:rsidR="003A0B12" w:rsidRPr="002C16AF" w:rsidRDefault="003A0B12" w:rsidP="002C16AF">
            <w:pPr>
              <w:jc w:val="both"/>
              <w:rPr>
                <w:rFonts w:asciiTheme="majorHAnsi" w:hAnsiTheme="majorHAnsi" w:cstheme="majorHAnsi"/>
                <w:b/>
                <w:bCs/>
                <w:sz w:val="16"/>
                <w:szCs w:val="16"/>
                <w:lang w:eastAsia="en-GB"/>
              </w:rPr>
            </w:pPr>
            <w:r w:rsidRPr="002C16AF">
              <w:rPr>
                <w:rFonts w:asciiTheme="majorHAnsi" w:hAnsiTheme="majorHAnsi" w:cstheme="majorHAnsi"/>
                <w:b/>
                <w:bCs/>
                <w:sz w:val="16"/>
                <w:szCs w:val="16"/>
                <w:lang w:eastAsia="en-GB"/>
              </w:rPr>
              <w:t>Format</w:t>
            </w:r>
          </w:p>
        </w:tc>
      </w:tr>
      <w:tr w:rsidR="003A0B12" w:rsidRPr="002C16AF" w14:paraId="5A36BB11" w14:textId="77777777" w:rsidTr="0047569E">
        <w:trPr>
          <w:trHeight w:val="115"/>
        </w:trPr>
        <w:tc>
          <w:tcPr>
            <w:tcW w:w="961" w:type="dxa"/>
            <w:vMerge/>
            <w:tcBorders>
              <w:bottom w:val="single" w:sz="4" w:space="0" w:color="auto"/>
            </w:tcBorders>
            <w:noWrap/>
            <w:hideMark/>
          </w:tcPr>
          <w:p w14:paraId="4C575680"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vMerge/>
            <w:tcBorders>
              <w:bottom w:val="single" w:sz="4" w:space="0" w:color="auto"/>
            </w:tcBorders>
            <w:noWrap/>
            <w:hideMark/>
          </w:tcPr>
          <w:p w14:paraId="4D9E3AA6" w14:textId="77777777" w:rsidR="003A0B12" w:rsidRPr="002C16AF" w:rsidRDefault="003A0B12" w:rsidP="002C16AF">
            <w:pPr>
              <w:jc w:val="both"/>
              <w:rPr>
                <w:rFonts w:asciiTheme="majorHAnsi" w:hAnsiTheme="majorHAnsi" w:cstheme="majorHAnsi"/>
                <w:sz w:val="16"/>
                <w:szCs w:val="16"/>
                <w:lang w:eastAsia="en-GB"/>
              </w:rPr>
            </w:pPr>
          </w:p>
        </w:tc>
        <w:tc>
          <w:tcPr>
            <w:tcW w:w="2009" w:type="dxa"/>
            <w:vMerge/>
            <w:tcBorders>
              <w:bottom w:val="single" w:sz="4" w:space="0" w:color="auto"/>
            </w:tcBorders>
            <w:noWrap/>
            <w:hideMark/>
          </w:tcPr>
          <w:p w14:paraId="4A3CDD74" w14:textId="77777777" w:rsidR="003A0B12" w:rsidRPr="002C16AF" w:rsidRDefault="003A0B12" w:rsidP="002C16AF">
            <w:pPr>
              <w:jc w:val="both"/>
              <w:rPr>
                <w:rFonts w:asciiTheme="majorHAnsi" w:hAnsiTheme="majorHAnsi" w:cstheme="majorHAnsi"/>
                <w:sz w:val="16"/>
                <w:szCs w:val="16"/>
                <w:lang w:eastAsia="en-GB"/>
              </w:rPr>
            </w:pPr>
          </w:p>
        </w:tc>
        <w:tc>
          <w:tcPr>
            <w:tcW w:w="950" w:type="dxa"/>
            <w:tcBorders>
              <w:top w:val="single" w:sz="4" w:space="0" w:color="auto"/>
              <w:bottom w:val="single" w:sz="4" w:space="0" w:color="auto"/>
            </w:tcBorders>
            <w:noWrap/>
            <w:hideMark/>
          </w:tcPr>
          <w:p w14:paraId="1C087B3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Keynote</w:t>
            </w:r>
          </w:p>
        </w:tc>
        <w:tc>
          <w:tcPr>
            <w:tcW w:w="950" w:type="dxa"/>
            <w:tcBorders>
              <w:top w:val="single" w:sz="4" w:space="0" w:color="auto"/>
              <w:bottom w:val="single" w:sz="4" w:space="0" w:color="auto"/>
            </w:tcBorders>
            <w:noWrap/>
            <w:hideMark/>
          </w:tcPr>
          <w:p w14:paraId="0C6CB3A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Oral</w:t>
            </w:r>
          </w:p>
        </w:tc>
        <w:tc>
          <w:tcPr>
            <w:tcW w:w="950" w:type="dxa"/>
            <w:tcBorders>
              <w:top w:val="single" w:sz="4" w:space="0" w:color="auto"/>
              <w:bottom w:val="single" w:sz="4" w:space="0" w:color="auto"/>
            </w:tcBorders>
            <w:noWrap/>
            <w:hideMark/>
          </w:tcPr>
          <w:p w14:paraId="41357F2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Short oral</w:t>
            </w:r>
          </w:p>
        </w:tc>
        <w:tc>
          <w:tcPr>
            <w:tcW w:w="950" w:type="dxa"/>
            <w:tcBorders>
              <w:top w:val="single" w:sz="4" w:space="0" w:color="auto"/>
              <w:bottom w:val="single" w:sz="4" w:space="0" w:color="auto"/>
            </w:tcBorders>
            <w:noWrap/>
            <w:hideMark/>
          </w:tcPr>
          <w:p w14:paraId="3C5C322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Peers' choice</w:t>
            </w:r>
          </w:p>
        </w:tc>
        <w:tc>
          <w:tcPr>
            <w:tcW w:w="950" w:type="dxa"/>
            <w:tcBorders>
              <w:top w:val="single" w:sz="4" w:space="0" w:color="auto"/>
              <w:bottom w:val="single" w:sz="4" w:space="0" w:color="auto"/>
            </w:tcBorders>
            <w:noWrap/>
            <w:hideMark/>
          </w:tcPr>
          <w:p w14:paraId="37FC7EA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Poster</w:t>
            </w:r>
          </w:p>
        </w:tc>
        <w:tc>
          <w:tcPr>
            <w:tcW w:w="950" w:type="dxa"/>
            <w:tcBorders>
              <w:top w:val="single" w:sz="4" w:space="0" w:color="auto"/>
              <w:bottom w:val="single" w:sz="4" w:space="0" w:color="auto"/>
            </w:tcBorders>
            <w:noWrap/>
            <w:hideMark/>
          </w:tcPr>
          <w:p w14:paraId="6C936B8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Panel discussion</w:t>
            </w:r>
          </w:p>
        </w:tc>
        <w:tc>
          <w:tcPr>
            <w:tcW w:w="951" w:type="dxa"/>
            <w:tcBorders>
              <w:top w:val="single" w:sz="4" w:space="0" w:color="auto"/>
              <w:bottom w:val="single" w:sz="4" w:space="0" w:color="auto"/>
            </w:tcBorders>
            <w:noWrap/>
            <w:hideMark/>
          </w:tcPr>
          <w:p w14:paraId="6E9160A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Project presentation</w:t>
            </w:r>
          </w:p>
        </w:tc>
      </w:tr>
      <w:tr w:rsidR="003A0B12" w:rsidRPr="002C16AF" w14:paraId="7812CB63" w14:textId="77777777" w:rsidTr="0047569E">
        <w:trPr>
          <w:trHeight w:val="30"/>
        </w:trPr>
        <w:tc>
          <w:tcPr>
            <w:tcW w:w="961" w:type="dxa"/>
            <w:tcBorders>
              <w:top w:val="single" w:sz="4" w:space="0" w:color="auto"/>
            </w:tcBorders>
            <w:noWrap/>
            <w:hideMark/>
          </w:tcPr>
          <w:p w14:paraId="00B35C83" w14:textId="77777777" w:rsidR="003A0B12" w:rsidRPr="002C16AF" w:rsidRDefault="003A0B12" w:rsidP="002C16AF">
            <w:pPr>
              <w:jc w:val="both"/>
              <w:rPr>
                <w:rFonts w:asciiTheme="majorHAnsi" w:hAnsiTheme="majorHAnsi" w:cstheme="majorHAnsi"/>
                <w:b/>
                <w:bCs/>
                <w:sz w:val="16"/>
                <w:szCs w:val="16"/>
                <w:lang w:eastAsia="en-GB"/>
              </w:rPr>
            </w:pPr>
            <w:r w:rsidRPr="002C16AF">
              <w:rPr>
                <w:rFonts w:asciiTheme="majorHAnsi" w:hAnsiTheme="majorHAnsi" w:cstheme="majorHAnsi"/>
                <w:b/>
                <w:bCs/>
                <w:sz w:val="16"/>
                <w:szCs w:val="16"/>
                <w:lang w:eastAsia="en-GB"/>
              </w:rPr>
              <w:t>ICAHS 1</w:t>
            </w:r>
          </w:p>
        </w:tc>
        <w:tc>
          <w:tcPr>
            <w:tcW w:w="455" w:type="dxa"/>
            <w:tcBorders>
              <w:top w:val="single" w:sz="4" w:space="0" w:color="auto"/>
            </w:tcBorders>
            <w:noWrap/>
            <w:hideMark/>
          </w:tcPr>
          <w:p w14:paraId="7BF0BF3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2011</w:t>
            </w:r>
          </w:p>
        </w:tc>
        <w:tc>
          <w:tcPr>
            <w:tcW w:w="2009" w:type="dxa"/>
            <w:tcBorders>
              <w:top w:val="single" w:sz="4" w:space="0" w:color="auto"/>
            </w:tcBorders>
            <w:noWrap/>
            <w:hideMark/>
          </w:tcPr>
          <w:p w14:paraId="5DE39E1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Challenging Environment</w:t>
            </w:r>
          </w:p>
        </w:tc>
        <w:tc>
          <w:tcPr>
            <w:tcW w:w="950" w:type="dxa"/>
            <w:tcBorders>
              <w:top w:val="single" w:sz="4" w:space="0" w:color="auto"/>
            </w:tcBorders>
            <w:noWrap/>
            <w:hideMark/>
          </w:tcPr>
          <w:p w14:paraId="0034649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tcBorders>
            <w:noWrap/>
            <w:hideMark/>
          </w:tcPr>
          <w:p w14:paraId="7502FFD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5</w:t>
            </w:r>
          </w:p>
        </w:tc>
        <w:tc>
          <w:tcPr>
            <w:tcW w:w="950" w:type="dxa"/>
            <w:tcBorders>
              <w:top w:val="single" w:sz="4" w:space="0" w:color="auto"/>
            </w:tcBorders>
            <w:noWrap/>
            <w:hideMark/>
          </w:tcPr>
          <w:p w14:paraId="0F1CD96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tcBorders>
            <w:noWrap/>
            <w:hideMark/>
          </w:tcPr>
          <w:p w14:paraId="60CD42F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tcBorders>
            <w:noWrap/>
            <w:hideMark/>
          </w:tcPr>
          <w:p w14:paraId="3D8F1C4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5</w:t>
            </w:r>
          </w:p>
        </w:tc>
        <w:tc>
          <w:tcPr>
            <w:tcW w:w="950" w:type="dxa"/>
            <w:tcBorders>
              <w:top w:val="single" w:sz="4" w:space="0" w:color="auto"/>
            </w:tcBorders>
            <w:noWrap/>
            <w:hideMark/>
          </w:tcPr>
          <w:p w14:paraId="363CB71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tcBorders>
              <w:top w:val="single" w:sz="4" w:space="0" w:color="auto"/>
            </w:tcBorders>
            <w:noWrap/>
            <w:hideMark/>
          </w:tcPr>
          <w:p w14:paraId="5249E63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4C645A1E" w14:textId="77777777" w:rsidTr="0047569E">
        <w:trPr>
          <w:trHeight w:val="30"/>
        </w:trPr>
        <w:tc>
          <w:tcPr>
            <w:tcW w:w="961" w:type="dxa"/>
            <w:noWrap/>
            <w:hideMark/>
          </w:tcPr>
          <w:p w14:paraId="04118044"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2E726860"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761B032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Context And Attitudes</w:t>
            </w:r>
          </w:p>
        </w:tc>
        <w:tc>
          <w:tcPr>
            <w:tcW w:w="950" w:type="dxa"/>
            <w:noWrap/>
            <w:hideMark/>
          </w:tcPr>
          <w:p w14:paraId="055454D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0F48ABE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5</w:t>
            </w:r>
          </w:p>
        </w:tc>
        <w:tc>
          <w:tcPr>
            <w:tcW w:w="950" w:type="dxa"/>
            <w:noWrap/>
            <w:hideMark/>
          </w:tcPr>
          <w:p w14:paraId="71F896C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68BD883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4A2089A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7</w:t>
            </w:r>
          </w:p>
        </w:tc>
        <w:tc>
          <w:tcPr>
            <w:tcW w:w="950" w:type="dxa"/>
            <w:noWrap/>
            <w:hideMark/>
          </w:tcPr>
          <w:p w14:paraId="5D4E221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197F86D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5504A5F5" w14:textId="77777777" w:rsidTr="0047569E">
        <w:trPr>
          <w:trHeight w:val="30"/>
        </w:trPr>
        <w:tc>
          <w:tcPr>
            <w:tcW w:w="961" w:type="dxa"/>
            <w:noWrap/>
            <w:hideMark/>
          </w:tcPr>
          <w:p w14:paraId="40E20857"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3A66CA79"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147247C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Data And Tools</w:t>
            </w:r>
          </w:p>
        </w:tc>
        <w:tc>
          <w:tcPr>
            <w:tcW w:w="950" w:type="dxa"/>
            <w:noWrap/>
            <w:hideMark/>
          </w:tcPr>
          <w:p w14:paraId="7F3812C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2536323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6</w:t>
            </w:r>
          </w:p>
        </w:tc>
        <w:tc>
          <w:tcPr>
            <w:tcW w:w="950" w:type="dxa"/>
            <w:noWrap/>
            <w:hideMark/>
          </w:tcPr>
          <w:p w14:paraId="2B30550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83B7FA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D9C2E4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15</w:t>
            </w:r>
          </w:p>
        </w:tc>
        <w:tc>
          <w:tcPr>
            <w:tcW w:w="950" w:type="dxa"/>
            <w:noWrap/>
            <w:hideMark/>
          </w:tcPr>
          <w:p w14:paraId="0BA7940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36E6F2F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734EFE79" w14:textId="77777777" w:rsidTr="0047569E">
        <w:trPr>
          <w:trHeight w:val="285"/>
        </w:trPr>
        <w:tc>
          <w:tcPr>
            <w:tcW w:w="961" w:type="dxa"/>
            <w:noWrap/>
            <w:hideMark/>
          </w:tcPr>
          <w:p w14:paraId="2E5F7DE0"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206CB3FF"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05420B4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 xml:space="preserve">Early Detection </w:t>
            </w:r>
            <w:proofErr w:type="gramStart"/>
            <w:r w:rsidRPr="002C16AF">
              <w:rPr>
                <w:rFonts w:asciiTheme="majorHAnsi" w:hAnsiTheme="majorHAnsi" w:cstheme="majorHAnsi"/>
                <w:sz w:val="16"/>
                <w:szCs w:val="16"/>
                <w:lang w:eastAsia="en-GB"/>
              </w:rPr>
              <w:t>And</w:t>
            </w:r>
            <w:proofErr w:type="gramEnd"/>
            <w:r w:rsidRPr="002C16AF">
              <w:rPr>
                <w:rFonts w:asciiTheme="majorHAnsi" w:hAnsiTheme="majorHAnsi" w:cstheme="majorHAnsi"/>
                <w:sz w:val="16"/>
                <w:szCs w:val="16"/>
                <w:lang w:eastAsia="en-GB"/>
              </w:rPr>
              <w:t xml:space="preserve"> Outbreak Development</w:t>
            </w:r>
          </w:p>
        </w:tc>
        <w:tc>
          <w:tcPr>
            <w:tcW w:w="950" w:type="dxa"/>
            <w:noWrap/>
            <w:hideMark/>
          </w:tcPr>
          <w:p w14:paraId="51B6EA1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13EA17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w:t>
            </w:r>
          </w:p>
        </w:tc>
        <w:tc>
          <w:tcPr>
            <w:tcW w:w="950" w:type="dxa"/>
            <w:noWrap/>
            <w:hideMark/>
          </w:tcPr>
          <w:p w14:paraId="0AC5EFF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66926E3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A9B8F1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24</w:t>
            </w:r>
          </w:p>
        </w:tc>
        <w:tc>
          <w:tcPr>
            <w:tcW w:w="950" w:type="dxa"/>
            <w:noWrap/>
            <w:hideMark/>
          </w:tcPr>
          <w:p w14:paraId="5CCC83D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2CEBF62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265B1923" w14:textId="77777777" w:rsidTr="0047569E">
        <w:trPr>
          <w:trHeight w:val="30"/>
        </w:trPr>
        <w:tc>
          <w:tcPr>
            <w:tcW w:w="961" w:type="dxa"/>
            <w:noWrap/>
            <w:hideMark/>
          </w:tcPr>
          <w:p w14:paraId="38854CA9"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6CDACE07"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211ECC3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Endemic</w:t>
            </w:r>
          </w:p>
        </w:tc>
        <w:tc>
          <w:tcPr>
            <w:tcW w:w="950" w:type="dxa"/>
            <w:noWrap/>
            <w:hideMark/>
          </w:tcPr>
          <w:p w14:paraId="358C522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6337D67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w:t>
            </w:r>
          </w:p>
        </w:tc>
        <w:tc>
          <w:tcPr>
            <w:tcW w:w="950" w:type="dxa"/>
            <w:noWrap/>
            <w:hideMark/>
          </w:tcPr>
          <w:p w14:paraId="702C681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2A1ABF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3F4F27B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15</w:t>
            </w:r>
          </w:p>
        </w:tc>
        <w:tc>
          <w:tcPr>
            <w:tcW w:w="950" w:type="dxa"/>
            <w:noWrap/>
            <w:hideMark/>
          </w:tcPr>
          <w:p w14:paraId="5AB3F44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44AFC66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6375EF5E" w14:textId="77777777" w:rsidTr="0047569E">
        <w:trPr>
          <w:trHeight w:val="30"/>
        </w:trPr>
        <w:tc>
          <w:tcPr>
            <w:tcW w:w="961" w:type="dxa"/>
            <w:noWrap/>
            <w:hideMark/>
          </w:tcPr>
          <w:p w14:paraId="0FE024A4"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24EA61A6"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4EB0EE6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Evaluation</w:t>
            </w:r>
          </w:p>
        </w:tc>
        <w:tc>
          <w:tcPr>
            <w:tcW w:w="950" w:type="dxa"/>
            <w:noWrap/>
            <w:hideMark/>
          </w:tcPr>
          <w:p w14:paraId="74B5C73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CA984B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w:t>
            </w:r>
          </w:p>
        </w:tc>
        <w:tc>
          <w:tcPr>
            <w:tcW w:w="950" w:type="dxa"/>
            <w:noWrap/>
            <w:hideMark/>
          </w:tcPr>
          <w:p w14:paraId="0E554F9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9DB88C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61C3A1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13</w:t>
            </w:r>
          </w:p>
        </w:tc>
        <w:tc>
          <w:tcPr>
            <w:tcW w:w="950" w:type="dxa"/>
            <w:noWrap/>
            <w:hideMark/>
          </w:tcPr>
          <w:p w14:paraId="33ECD2D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1F60E67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7D6BBB19" w14:textId="77777777" w:rsidTr="0047569E">
        <w:trPr>
          <w:trHeight w:val="30"/>
        </w:trPr>
        <w:tc>
          <w:tcPr>
            <w:tcW w:w="961" w:type="dxa"/>
            <w:noWrap/>
            <w:hideMark/>
          </w:tcPr>
          <w:p w14:paraId="3E6CD352"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6FF3D963"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78E79AA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Optimisation</w:t>
            </w:r>
          </w:p>
        </w:tc>
        <w:tc>
          <w:tcPr>
            <w:tcW w:w="950" w:type="dxa"/>
            <w:noWrap/>
            <w:hideMark/>
          </w:tcPr>
          <w:p w14:paraId="6825FED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4AD90A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8</w:t>
            </w:r>
          </w:p>
        </w:tc>
        <w:tc>
          <w:tcPr>
            <w:tcW w:w="950" w:type="dxa"/>
            <w:noWrap/>
            <w:hideMark/>
          </w:tcPr>
          <w:p w14:paraId="6192889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4D8EFEB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01CEA7F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16</w:t>
            </w:r>
          </w:p>
        </w:tc>
        <w:tc>
          <w:tcPr>
            <w:tcW w:w="950" w:type="dxa"/>
            <w:noWrap/>
            <w:hideMark/>
          </w:tcPr>
          <w:p w14:paraId="700EA7B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7D45E4E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33F4B768" w14:textId="77777777" w:rsidTr="0047569E">
        <w:trPr>
          <w:trHeight w:val="87"/>
        </w:trPr>
        <w:tc>
          <w:tcPr>
            <w:tcW w:w="961" w:type="dxa"/>
            <w:noWrap/>
            <w:hideMark/>
          </w:tcPr>
          <w:p w14:paraId="28F5A30C"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727CCBAA" w14:textId="77777777" w:rsidR="003A0B12" w:rsidRPr="002C16AF" w:rsidRDefault="003A0B12" w:rsidP="002C16AF">
            <w:pPr>
              <w:jc w:val="both"/>
              <w:rPr>
                <w:rFonts w:asciiTheme="majorHAnsi" w:hAnsiTheme="majorHAnsi" w:cstheme="majorHAnsi"/>
                <w:sz w:val="16"/>
                <w:szCs w:val="16"/>
                <w:lang w:eastAsia="en-GB"/>
              </w:rPr>
            </w:pPr>
          </w:p>
        </w:tc>
        <w:tc>
          <w:tcPr>
            <w:tcW w:w="2009" w:type="dxa"/>
            <w:tcBorders>
              <w:bottom w:val="single" w:sz="4" w:space="0" w:color="auto"/>
            </w:tcBorders>
            <w:noWrap/>
            <w:hideMark/>
          </w:tcPr>
          <w:p w14:paraId="389E1D7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Risk And Freedom</w:t>
            </w:r>
          </w:p>
        </w:tc>
        <w:tc>
          <w:tcPr>
            <w:tcW w:w="950" w:type="dxa"/>
            <w:tcBorders>
              <w:bottom w:val="single" w:sz="4" w:space="0" w:color="auto"/>
            </w:tcBorders>
            <w:noWrap/>
            <w:hideMark/>
          </w:tcPr>
          <w:p w14:paraId="24DD168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bottom w:val="single" w:sz="4" w:space="0" w:color="auto"/>
            </w:tcBorders>
            <w:noWrap/>
            <w:hideMark/>
          </w:tcPr>
          <w:p w14:paraId="50B5162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9</w:t>
            </w:r>
          </w:p>
        </w:tc>
        <w:tc>
          <w:tcPr>
            <w:tcW w:w="950" w:type="dxa"/>
            <w:tcBorders>
              <w:bottom w:val="single" w:sz="4" w:space="0" w:color="auto"/>
            </w:tcBorders>
            <w:noWrap/>
            <w:hideMark/>
          </w:tcPr>
          <w:p w14:paraId="4E1F8DF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bottom w:val="single" w:sz="4" w:space="0" w:color="auto"/>
            </w:tcBorders>
            <w:noWrap/>
            <w:hideMark/>
          </w:tcPr>
          <w:p w14:paraId="2B97091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bottom w:val="single" w:sz="4" w:space="0" w:color="auto"/>
            </w:tcBorders>
            <w:noWrap/>
            <w:hideMark/>
          </w:tcPr>
          <w:p w14:paraId="5C456E1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12</w:t>
            </w:r>
          </w:p>
        </w:tc>
        <w:tc>
          <w:tcPr>
            <w:tcW w:w="950" w:type="dxa"/>
            <w:tcBorders>
              <w:bottom w:val="single" w:sz="4" w:space="0" w:color="auto"/>
            </w:tcBorders>
            <w:noWrap/>
            <w:hideMark/>
          </w:tcPr>
          <w:p w14:paraId="6E9CFF9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tcBorders>
              <w:bottom w:val="single" w:sz="4" w:space="0" w:color="auto"/>
            </w:tcBorders>
            <w:noWrap/>
            <w:hideMark/>
          </w:tcPr>
          <w:p w14:paraId="1805DCC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6CB4FA8F" w14:textId="77777777" w:rsidTr="0047569E">
        <w:trPr>
          <w:trHeight w:val="30"/>
        </w:trPr>
        <w:tc>
          <w:tcPr>
            <w:tcW w:w="961" w:type="dxa"/>
            <w:tcBorders>
              <w:bottom w:val="single" w:sz="4" w:space="0" w:color="auto"/>
            </w:tcBorders>
            <w:noWrap/>
            <w:hideMark/>
          </w:tcPr>
          <w:p w14:paraId="4E2CF230" w14:textId="77777777" w:rsidR="003A0B12" w:rsidRPr="002C16AF" w:rsidRDefault="003A0B12" w:rsidP="002C16AF">
            <w:pPr>
              <w:jc w:val="both"/>
              <w:rPr>
                <w:rFonts w:asciiTheme="majorHAnsi" w:hAnsiTheme="majorHAnsi" w:cstheme="majorHAnsi"/>
                <w:b/>
                <w:bCs/>
                <w:i/>
                <w:iCs/>
                <w:sz w:val="16"/>
                <w:szCs w:val="16"/>
                <w:lang w:eastAsia="en-GB"/>
              </w:rPr>
            </w:pPr>
          </w:p>
        </w:tc>
        <w:tc>
          <w:tcPr>
            <w:tcW w:w="455" w:type="dxa"/>
            <w:tcBorders>
              <w:bottom w:val="single" w:sz="4" w:space="0" w:color="auto"/>
            </w:tcBorders>
            <w:noWrap/>
            <w:hideMark/>
          </w:tcPr>
          <w:p w14:paraId="2D53FA60" w14:textId="77777777" w:rsidR="003A0B12" w:rsidRPr="002C16AF" w:rsidRDefault="003A0B12" w:rsidP="002C16AF">
            <w:pPr>
              <w:jc w:val="both"/>
              <w:rPr>
                <w:rFonts w:asciiTheme="majorHAnsi" w:hAnsiTheme="majorHAnsi" w:cstheme="majorHAnsi"/>
                <w:sz w:val="16"/>
                <w:szCs w:val="16"/>
                <w:lang w:eastAsia="en-GB"/>
              </w:rPr>
            </w:pPr>
          </w:p>
        </w:tc>
        <w:tc>
          <w:tcPr>
            <w:tcW w:w="2009" w:type="dxa"/>
            <w:tcBorders>
              <w:top w:val="single" w:sz="4" w:space="0" w:color="auto"/>
              <w:bottom w:val="single" w:sz="4" w:space="0" w:color="auto"/>
            </w:tcBorders>
            <w:noWrap/>
            <w:hideMark/>
          </w:tcPr>
          <w:p w14:paraId="09B8EDA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i/>
                <w:iCs/>
                <w:sz w:val="16"/>
                <w:szCs w:val="16"/>
                <w:lang w:eastAsia="en-GB"/>
              </w:rPr>
              <w:t>Total</w:t>
            </w:r>
          </w:p>
        </w:tc>
        <w:tc>
          <w:tcPr>
            <w:tcW w:w="950" w:type="dxa"/>
            <w:tcBorders>
              <w:top w:val="single" w:sz="4" w:space="0" w:color="auto"/>
              <w:bottom w:val="single" w:sz="4" w:space="0" w:color="auto"/>
            </w:tcBorders>
            <w:noWrap/>
            <w:hideMark/>
          </w:tcPr>
          <w:p w14:paraId="1682AD3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bottom w:val="single" w:sz="4" w:space="0" w:color="auto"/>
            </w:tcBorders>
            <w:noWrap/>
            <w:hideMark/>
          </w:tcPr>
          <w:p w14:paraId="2E3ACBC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45</w:t>
            </w:r>
          </w:p>
        </w:tc>
        <w:tc>
          <w:tcPr>
            <w:tcW w:w="950" w:type="dxa"/>
            <w:tcBorders>
              <w:top w:val="single" w:sz="4" w:space="0" w:color="auto"/>
              <w:bottom w:val="single" w:sz="4" w:space="0" w:color="auto"/>
            </w:tcBorders>
            <w:noWrap/>
            <w:hideMark/>
          </w:tcPr>
          <w:p w14:paraId="20A853C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bottom w:val="single" w:sz="4" w:space="0" w:color="auto"/>
            </w:tcBorders>
            <w:noWrap/>
            <w:hideMark/>
          </w:tcPr>
          <w:p w14:paraId="74A1F15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bottom w:val="single" w:sz="4" w:space="0" w:color="auto"/>
            </w:tcBorders>
            <w:noWrap/>
            <w:hideMark/>
          </w:tcPr>
          <w:p w14:paraId="03B5B6B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107</w:t>
            </w:r>
          </w:p>
        </w:tc>
        <w:tc>
          <w:tcPr>
            <w:tcW w:w="950" w:type="dxa"/>
            <w:tcBorders>
              <w:top w:val="single" w:sz="4" w:space="0" w:color="auto"/>
              <w:bottom w:val="single" w:sz="4" w:space="0" w:color="auto"/>
            </w:tcBorders>
            <w:noWrap/>
            <w:hideMark/>
          </w:tcPr>
          <w:p w14:paraId="6D2E241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tcBorders>
              <w:top w:val="single" w:sz="4" w:space="0" w:color="auto"/>
              <w:bottom w:val="single" w:sz="4" w:space="0" w:color="auto"/>
            </w:tcBorders>
            <w:noWrap/>
            <w:hideMark/>
          </w:tcPr>
          <w:p w14:paraId="1E2AD83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3AF1FFC7" w14:textId="77777777" w:rsidTr="0047569E">
        <w:trPr>
          <w:trHeight w:val="144"/>
        </w:trPr>
        <w:tc>
          <w:tcPr>
            <w:tcW w:w="961" w:type="dxa"/>
            <w:tcBorders>
              <w:top w:val="single" w:sz="4" w:space="0" w:color="auto"/>
            </w:tcBorders>
            <w:noWrap/>
            <w:hideMark/>
          </w:tcPr>
          <w:p w14:paraId="75FD3E93" w14:textId="77777777" w:rsidR="003A0B12" w:rsidRPr="002C16AF" w:rsidRDefault="003A0B12" w:rsidP="002C16AF">
            <w:pPr>
              <w:jc w:val="both"/>
              <w:rPr>
                <w:rFonts w:asciiTheme="majorHAnsi" w:hAnsiTheme="majorHAnsi" w:cstheme="majorHAnsi"/>
                <w:b/>
                <w:bCs/>
                <w:sz w:val="16"/>
                <w:szCs w:val="16"/>
                <w:lang w:eastAsia="en-GB"/>
              </w:rPr>
            </w:pPr>
            <w:r w:rsidRPr="002C16AF">
              <w:rPr>
                <w:rFonts w:asciiTheme="majorHAnsi" w:hAnsiTheme="majorHAnsi" w:cstheme="majorHAnsi"/>
                <w:b/>
                <w:bCs/>
                <w:sz w:val="16"/>
                <w:szCs w:val="16"/>
                <w:lang w:eastAsia="en-GB"/>
              </w:rPr>
              <w:t>ICAHS 2</w:t>
            </w:r>
          </w:p>
        </w:tc>
        <w:tc>
          <w:tcPr>
            <w:tcW w:w="455" w:type="dxa"/>
            <w:tcBorders>
              <w:top w:val="single" w:sz="4" w:space="0" w:color="auto"/>
            </w:tcBorders>
            <w:noWrap/>
            <w:hideMark/>
          </w:tcPr>
          <w:p w14:paraId="0F568CB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2014</w:t>
            </w:r>
          </w:p>
        </w:tc>
        <w:tc>
          <w:tcPr>
            <w:tcW w:w="2009" w:type="dxa"/>
            <w:tcBorders>
              <w:top w:val="single" w:sz="4" w:space="0" w:color="auto"/>
            </w:tcBorders>
            <w:noWrap/>
            <w:hideMark/>
          </w:tcPr>
          <w:p w14:paraId="0660C69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Assessing Effectiveness and Benefits</w:t>
            </w:r>
          </w:p>
        </w:tc>
        <w:tc>
          <w:tcPr>
            <w:tcW w:w="950" w:type="dxa"/>
            <w:tcBorders>
              <w:top w:val="single" w:sz="4" w:space="0" w:color="auto"/>
            </w:tcBorders>
            <w:noWrap/>
            <w:hideMark/>
          </w:tcPr>
          <w:p w14:paraId="49B013C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tcBorders>
            <w:noWrap/>
            <w:hideMark/>
          </w:tcPr>
          <w:p w14:paraId="02F2BF1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tcBorders>
            <w:noWrap/>
            <w:hideMark/>
          </w:tcPr>
          <w:p w14:paraId="35997F0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tcBorders>
            <w:noWrap/>
            <w:hideMark/>
          </w:tcPr>
          <w:p w14:paraId="5CAA95F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tcBorders>
            <w:noWrap/>
            <w:hideMark/>
          </w:tcPr>
          <w:p w14:paraId="1749247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11</w:t>
            </w:r>
          </w:p>
        </w:tc>
        <w:tc>
          <w:tcPr>
            <w:tcW w:w="950" w:type="dxa"/>
            <w:tcBorders>
              <w:top w:val="single" w:sz="4" w:space="0" w:color="auto"/>
            </w:tcBorders>
            <w:noWrap/>
            <w:hideMark/>
          </w:tcPr>
          <w:p w14:paraId="6C07BD7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tcBorders>
              <w:top w:val="single" w:sz="4" w:space="0" w:color="auto"/>
            </w:tcBorders>
            <w:noWrap/>
            <w:hideMark/>
          </w:tcPr>
          <w:p w14:paraId="7FFD7EA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244F625F" w14:textId="77777777" w:rsidTr="0047569E">
        <w:trPr>
          <w:trHeight w:val="285"/>
        </w:trPr>
        <w:tc>
          <w:tcPr>
            <w:tcW w:w="961" w:type="dxa"/>
            <w:noWrap/>
            <w:hideMark/>
          </w:tcPr>
          <w:p w14:paraId="70EE4709"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00282AFF"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20061C8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Challenging Populations and Data</w:t>
            </w:r>
          </w:p>
        </w:tc>
        <w:tc>
          <w:tcPr>
            <w:tcW w:w="950" w:type="dxa"/>
            <w:noWrap/>
            <w:hideMark/>
          </w:tcPr>
          <w:p w14:paraId="2581411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6AAB9DC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6</w:t>
            </w:r>
          </w:p>
        </w:tc>
        <w:tc>
          <w:tcPr>
            <w:tcW w:w="950" w:type="dxa"/>
            <w:noWrap/>
            <w:hideMark/>
          </w:tcPr>
          <w:p w14:paraId="54D07D2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w:t>
            </w:r>
          </w:p>
        </w:tc>
        <w:tc>
          <w:tcPr>
            <w:tcW w:w="950" w:type="dxa"/>
            <w:noWrap/>
            <w:hideMark/>
          </w:tcPr>
          <w:p w14:paraId="5D5E6BA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0A53E23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11</w:t>
            </w:r>
          </w:p>
        </w:tc>
        <w:tc>
          <w:tcPr>
            <w:tcW w:w="950" w:type="dxa"/>
            <w:noWrap/>
            <w:hideMark/>
          </w:tcPr>
          <w:p w14:paraId="4F1B4DC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65846CD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3B69A9BA" w14:textId="77777777" w:rsidTr="0047569E">
        <w:trPr>
          <w:trHeight w:val="30"/>
        </w:trPr>
        <w:tc>
          <w:tcPr>
            <w:tcW w:w="961" w:type="dxa"/>
            <w:noWrap/>
            <w:hideMark/>
          </w:tcPr>
          <w:p w14:paraId="147DA530"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3336F1A3"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5DE0D3D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Characterising Risk</w:t>
            </w:r>
          </w:p>
        </w:tc>
        <w:tc>
          <w:tcPr>
            <w:tcW w:w="950" w:type="dxa"/>
            <w:noWrap/>
            <w:hideMark/>
          </w:tcPr>
          <w:p w14:paraId="152B4F2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3988243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6</w:t>
            </w:r>
          </w:p>
        </w:tc>
        <w:tc>
          <w:tcPr>
            <w:tcW w:w="950" w:type="dxa"/>
            <w:noWrap/>
            <w:hideMark/>
          </w:tcPr>
          <w:p w14:paraId="36E15F4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F108A0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388BC53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9</w:t>
            </w:r>
          </w:p>
        </w:tc>
        <w:tc>
          <w:tcPr>
            <w:tcW w:w="950" w:type="dxa"/>
            <w:noWrap/>
            <w:hideMark/>
          </w:tcPr>
          <w:p w14:paraId="651ADD3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52A5BDA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35475FEC" w14:textId="77777777" w:rsidTr="0047569E">
        <w:trPr>
          <w:trHeight w:val="30"/>
        </w:trPr>
        <w:tc>
          <w:tcPr>
            <w:tcW w:w="961" w:type="dxa"/>
            <w:noWrap/>
            <w:hideMark/>
          </w:tcPr>
          <w:p w14:paraId="5FA11A49"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427A5AEE"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6AFF325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Early Warning</w:t>
            </w:r>
          </w:p>
        </w:tc>
        <w:tc>
          <w:tcPr>
            <w:tcW w:w="950" w:type="dxa"/>
            <w:noWrap/>
            <w:hideMark/>
          </w:tcPr>
          <w:p w14:paraId="5B3AA07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32C1C3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w:t>
            </w:r>
          </w:p>
        </w:tc>
        <w:tc>
          <w:tcPr>
            <w:tcW w:w="950" w:type="dxa"/>
            <w:noWrap/>
            <w:hideMark/>
          </w:tcPr>
          <w:p w14:paraId="7E42B83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w:t>
            </w:r>
          </w:p>
        </w:tc>
        <w:tc>
          <w:tcPr>
            <w:tcW w:w="950" w:type="dxa"/>
            <w:noWrap/>
            <w:hideMark/>
          </w:tcPr>
          <w:p w14:paraId="60A271E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2F83C8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6</w:t>
            </w:r>
          </w:p>
        </w:tc>
        <w:tc>
          <w:tcPr>
            <w:tcW w:w="950" w:type="dxa"/>
            <w:noWrap/>
            <w:hideMark/>
          </w:tcPr>
          <w:p w14:paraId="1836D4D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0A8F449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40B69A86" w14:textId="77777777" w:rsidTr="0047569E">
        <w:trPr>
          <w:trHeight w:val="285"/>
        </w:trPr>
        <w:tc>
          <w:tcPr>
            <w:tcW w:w="961" w:type="dxa"/>
            <w:noWrap/>
            <w:hideMark/>
          </w:tcPr>
          <w:p w14:paraId="0E37BF5F"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0BB562CD"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489C0A4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Involving Stakeholders and Guiding Policy</w:t>
            </w:r>
          </w:p>
        </w:tc>
        <w:tc>
          <w:tcPr>
            <w:tcW w:w="950" w:type="dxa"/>
            <w:noWrap/>
            <w:hideMark/>
          </w:tcPr>
          <w:p w14:paraId="2543C57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33FA9D5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w:t>
            </w:r>
          </w:p>
        </w:tc>
        <w:tc>
          <w:tcPr>
            <w:tcW w:w="950" w:type="dxa"/>
            <w:noWrap/>
            <w:hideMark/>
          </w:tcPr>
          <w:p w14:paraId="30725D1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w:t>
            </w:r>
          </w:p>
        </w:tc>
        <w:tc>
          <w:tcPr>
            <w:tcW w:w="950" w:type="dxa"/>
            <w:noWrap/>
            <w:hideMark/>
          </w:tcPr>
          <w:p w14:paraId="2E6ABA7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4F81138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5</w:t>
            </w:r>
          </w:p>
        </w:tc>
        <w:tc>
          <w:tcPr>
            <w:tcW w:w="950" w:type="dxa"/>
            <w:noWrap/>
            <w:hideMark/>
          </w:tcPr>
          <w:p w14:paraId="25D795F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5A9FD4E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67A6A4C1" w14:textId="77777777" w:rsidTr="0047569E">
        <w:trPr>
          <w:trHeight w:val="285"/>
        </w:trPr>
        <w:tc>
          <w:tcPr>
            <w:tcW w:w="961" w:type="dxa"/>
            <w:noWrap/>
            <w:hideMark/>
          </w:tcPr>
          <w:p w14:paraId="3852D7E7"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5D318EDC"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514274D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Optimising Surveillance Designs</w:t>
            </w:r>
          </w:p>
        </w:tc>
        <w:tc>
          <w:tcPr>
            <w:tcW w:w="950" w:type="dxa"/>
            <w:noWrap/>
            <w:hideMark/>
          </w:tcPr>
          <w:p w14:paraId="7D8A7EE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45325ED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10</w:t>
            </w:r>
          </w:p>
        </w:tc>
        <w:tc>
          <w:tcPr>
            <w:tcW w:w="950" w:type="dxa"/>
            <w:noWrap/>
            <w:hideMark/>
          </w:tcPr>
          <w:p w14:paraId="386D6DE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91DB37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w:t>
            </w:r>
          </w:p>
        </w:tc>
        <w:tc>
          <w:tcPr>
            <w:tcW w:w="950" w:type="dxa"/>
            <w:noWrap/>
            <w:hideMark/>
          </w:tcPr>
          <w:p w14:paraId="637AF52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19</w:t>
            </w:r>
          </w:p>
        </w:tc>
        <w:tc>
          <w:tcPr>
            <w:tcW w:w="950" w:type="dxa"/>
            <w:noWrap/>
            <w:hideMark/>
          </w:tcPr>
          <w:p w14:paraId="7F1BF55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6E9F12F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19187DB2" w14:textId="77777777" w:rsidTr="0047569E">
        <w:trPr>
          <w:trHeight w:val="285"/>
        </w:trPr>
        <w:tc>
          <w:tcPr>
            <w:tcW w:w="961" w:type="dxa"/>
            <w:noWrap/>
            <w:hideMark/>
          </w:tcPr>
          <w:p w14:paraId="7F0B6E08"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748914A6"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49EA2C4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Surveillance Across the Animal Health - Public Health Interface</w:t>
            </w:r>
          </w:p>
        </w:tc>
        <w:tc>
          <w:tcPr>
            <w:tcW w:w="950" w:type="dxa"/>
            <w:noWrap/>
            <w:hideMark/>
          </w:tcPr>
          <w:p w14:paraId="37B2538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4F3B157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5</w:t>
            </w:r>
          </w:p>
        </w:tc>
        <w:tc>
          <w:tcPr>
            <w:tcW w:w="950" w:type="dxa"/>
            <w:noWrap/>
            <w:hideMark/>
          </w:tcPr>
          <w:p w14:paraId="28B2811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8</w:t>
            </w:r>
          </w:p>
        </w:tc>
        <w:tc>
          <w:tcPr>
            <w:tcW w:w="950" w:type="dxa"/>
            <w:noWrap/>
            <w:hideMark/>
          </w:tcPr>
          <w:p w14:paraId="6310396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00773F0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8</w:t>
            </w:r>
          </w:p>
        </w:tc>
        <w:tc>
          <w:tcPr>
            <w:tcW w:w="950" w:type="dxa"/>
            <w:noWrap/>
            <w:hideMark/>
          </w:tcPr>
          <w:p w14:paraId="79B88BE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37DC4A3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398B8374" w14:textId="77777777" w:rsidTr="0047569E">
        <w:trPr>
          <w:trHeight w:val="285"/>
        </w:trPr>
        <w:tc>
          <w:tcPr>
            <w:tcW w:w="961" w:type="dxa"/>
            <w:noWrap/>
            <w:hideMark/>
          </w:tcPr>
          <w:p w14:paraId="5B9ADB59"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5EDDBC52"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7B8E919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Surveillance in Resource-Challenged Environments</w:t>
            </w:r>
          </w:p>
        </w:tc>
        <w:tc>
          <w:tcPr>
            <w:tcW w:w="950" w:type="dxa"/>
            <w:noWrap/>
            <w:hideMark/>
          </w:tcPr>
          <w:p w14:paraId="27736A9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1CC6FD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w:t>
            </w:r>
          </w:p>
        </w:tc>
        <w:tc>
          <w:tcPr>
            <w:tcW w:w="950" w:type="dxa"/>
            <w:noWrap/>
            <w:hideMark/>
          </w:tcPr>
          <w:p w14:paraId="6AEAFD7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w:t>
            </w:r>
          </w:p>
        </w:tc>
        <w:tc>
          <w:tcPr>
            <w:tcW w:w="950" w:type="dxa"/>
            <w:noWrap/>
            <w:hideMark/>
          </w:tcPr>
          <w:p w14:paraId="540ABC2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3AE23DF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w:t>
            </w:r>
          </w:p>
        </w:tc>
        <w:tc>
          <w:tcPr>
            <w:tcW w:w="950" w:type="dxa"/>
            <w:noWrap/>
            <w:hideMark/>
          </w:tcPr>
          <w:p w14:paraId="146F7C2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13FBAF9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6639985D" w14:textId="77777777" w:rsidTr="0047569E">
        <w:trPr>
          <w:trHeight w:val="30"/>
        </w:trPr>
        <w:tc>
          <w:tcPr>
            <w:tcW w:w="961" w:type="dxa"/>
            <w:noWrap/>
            <w:hideMark/>
          </w:tcPr>
          <w:p w14:paraId="383EC5F1"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5B3C8F5B" w14:textId="77777777" w:rsidR="003A0B12" w:rsidRPr="002C16AF" w:rsidRDefault="003A0B12" w:rsidP="002C16AF">
            <w:pPr>
              <w:jc w:val="both"/>
              <w:rPr>
                <w:rFonts w:asciiTheme="majorHAnsi" w:hAnsiTheme="majorHAnsi" w:cstheme="majorHAnsi"/>
                <w:sz w:val="16"/>
                <w:szCs w:val="16"/>
                <w:lang w:eastAsia="en-GB"/>
              </w:rPr>
            </w:pPr>
          </w:p>
        </w:tc>
        <w:tc>
          <w:tcPr>
            <w:tcW w:w="2009" w:type="dxa"/>
            <w:tcBorders>
              <w:bottom w:val="single" w:sz="4" w:space="0" w:color="auto"/>
            </w:tcBorders>
            <w:noWrap/>
            <w:hideMark/>
          </w:tcPr>
          <w:p w14:paraId="3D5489F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NA</w:t>
            </w:r>
          </w:p>
        </w:tc>
        <w:tc>
          <w:tcPr>
            <w:tcW w:w="950" w:type="dxa"/>
            <w:tcBorders>
              <w:bottom w:val="single" w:sz="4" w:space="0" w:color="auto"/>
            </w:tcBorders>
            <w:noWrap/>
            <w:hideMark/>
          </w:tcPr>
          <w:p w14:paraId="6F3DEF3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w:t>
            </w:r>
          </w:p>
        </w:tc>
        <w:tc>
          <w:tcPr>
            <w:tcW w:w="950" w:type="dxa"/>
            <w:tcBorders>
              <w:bottom w:val="single" w:sz="4" w:space="0" w:color="auto"/>
            </w:tcBorders>
            <w:noWrap/>
            <w:hideMark/>
          </w:tcPr>
          <w:p w14:paraId="360F286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bottom w:val="single" w:sz="4" w:space="0" w:color="auto"/>
            </w:tcBorders>
            <w:noWrap/>
            <w:hideMark/>
          </w:tcPr>
          <w:p w14:paraId="7E8E21B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bottom w:val="single" w:sz="4" w:space="0" w:color="auto"/>
            </w:tcBorders>
            <w:noWrap/>
            <w:hideMark/>
          </w:tcPr>
          <w:p w14:paraId="2DB0D7C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bottom w:val="single" w:sz="4" w:space="0" w:color="auto"/>
            </w:tcBorders>
            <w:noWrap/>
            <w:hideMark/>
          </w:tcPr>
          <w:p w14:paraId="7451D24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bottom w:val="single" w:sz="4" w:space="0" w:color="auto"/>
            </w:tcBorders>
            <w:noWrap/>
            <w:hideMark/>
          </w:tcPr>
          <w:p w14:paraId="01FC5BA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w:t>
            </w:r>
          </w:p>
        </w:tc>
        <w:tc>
          <w:tcPr>
            <w:tcW w:w="951" w:type="dxa"/>
            <w:tcBorders>
              <w:bottom w:val="single" w:sz="4" w:space="0" w:color="auto"/>
            </w:tcBorders>
            <w:noWrap/>
            <w:hideMark/>
          </w:tcPr>
          <w:p w14:paraId="49553E0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247229B9" w14:textId="77777777" w:rsidTr="0047569E">
        <w:trPr>
          <w:trHeight w:val="30"/>
        </w:trPr>
        <w:tc>
          <w:tcPr>
            <w:tcW w:w="961" w:type="dxa"/>
            <w:tcBorders>
              <w:bottom w:val="single" w:sz="4" w:space="0" w:color="auto"/>
            </w:tcBorders>
            <w:noWrap/>
            <w:hideMark/>
          </w:tcPr>
          <w:p w14:paraId="4A97285D"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tcBorders>
              <w:bottom w:val="single" w:sz="4" w:space="0" w:color="auto"/>
            </w:tcBorders>
            <w:noWrap/>
            <w:hideMark/>
          </w:tcPr>
          <w:p w14:paraId="23F445F0" w14:textId="77777777" w:rsidR="003A0B12" w:rsidRPr="002C16AF" w:rsidRDefault="003A0B12" w:rsidP="002C16AF">
            <w:pPr>
              <w:jc w:val="both"/>
              <w:rPr>
                <w:rFonts w:asciiTheme="majorHAnsi" w:hAnsiTheme="majorHAnsi" w:cstheme="majorHAnsi"/>
                <w:sz w:val="16"/>
                <w:szCs w:val="16"/>
                <w:lang w:eastAsia="en-GB"/>
              </w:rPr>
            </w:pPr>
          </w:p>
        </w:tc>
        <w:tc>
          <w:tcPr>
            <w:tcW w:w="2009" w:type="dxa"/>
            <w:tcBorders>
              <w:top w:val="single" w:sz="4" w:space="0" w:color="auto"/>
              <w:bottom w:val="single" w:sz="4" w:space="0" w:color="auto"/>
            </w:tcBorders>
            <w:noWrap/>
            <w:hideMark/>
          </w:tcPr>
          <w:p w14:paraId="6D2BCCF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i/>
                <w:iCs/>
                <w:sz w:val="16"/>
                <w:szCs w:val="16"/>
                <w:lang w:eastAsia="en-GB"/>
              </w:rPr>
              <w:t>Total</w:t>
            </w:r>
          </w:p>
        </w:tc>
        <w:tc>
          <w:tcPr>
            <w:tcW w:w="950" w:type="dxa"/>
            <w:tcBorders>
              <w:top w:val="single" w:sz="4" w:space="0" w:color="auto"/>
              <w:bottom w:val="single" w:sz="4" w:space="0" w:color="auto"/>
            </w:tcBorders>
            <w:noWrap/>
            <w:hideMark/>
          </w:tcPr>
          <w:p w14:paraId="44633C8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w:t>
            </w:r>
          </w:p>
        </w:tc>
        <w:tc>
          <w:tcPr>
            <w:tcW w:w="950" w:type="dxa"/>
            <w:tcBorders>
              <w:top w:val="single" w:sz="4" w:space="0" w:color="auto"/>
              <w:bottom w:val="single" w:sz="4" w:space="0" w:color="auto"/>
            </w:tcBorders>
            <w:noWrap/>
            <w:hideMark/>
          </w:tcPr>
          <w:p w14:paraId="2E16F42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39</w:t>
            </w:r>
          </w:p>
        </w:tc>
        <w:tc>
          <w:tcPr>
            <w:tcW w:w="950" w:type="dxa"/>
            <w:tcBorders>
              <w:top w:val="single" w:sz="4" w:space="0" w:color="auto"/>
              <w:bottom w:val="single" w:sz="4" w:space="0" w:color="auto"/>
            </w:tcBorders>
            <w:noWrap/>
            <w:hideMark/>
          </w:tcPr>
          <w:p w14:paraId="41A1F4A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24</w:t>
            </w:r>
          </w:p>
        </w:tc>
        <w:tc>
          <w:tcPr>
            <w:tcW w:w="950" w:type="dxa"/>
            <w:tcBorders>
              <w:top w:val="single" w:sz="4" w:space="0" w:color="auto"/>
              <w:bottom w:val="single" w:sz="4" w:space="0" w:color="auto"/>
            </w:tcBorders>
            <w:noWrap/>
            <w:hideMark/>
          </w:tcPr>
          <w:p w14:paraId="7D32AA9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w:t>
            </w:r>
          </w:p>
        </w:tc>
        <w:tc>
          <w:tcPr>
            <w:tcW w:w="950" w:type="dxa"/>
            <w:tcBorders>
              <w:top w:val="single" w:sz="4" w:space="0" w:color="auto"/>
              <w:bottom w:val="single" w:sz="4" w:space="0" w:color="auto"/>
            </w:tcBorders>
            <w:noWrap/>
            <w:hideMark/>
          </w:tcPr>
          <w:p w14:paraId="1BC838F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73</w:t>
            </w:r>
          </w:p>
        </w:tc>
        <w:tc>
          <w:tcPr>
            <w:tcW w:w="950" w:type="dxa"/>
            <w:tcBorders>
              <w:top w:val="single" w:sz="4" w:space="0" w:color="auto"/>
              <w:bottom w:val="single" w:sz="4" w:space="0" w:color="auto"/>
            </w:tcBorders>
            <w:noWrap/>
            <w:hideMark/>
          </w:tcPr>
          <w:p w14:paraId="6B3EB70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w:t>
            </w:r>
          </w:p>
        </w:tc>
        <w:tc>
          <w:tcPr>
            <w:tcW w:w="951" w:type="dxa"/>
            <w:tcBorders>
              <w:top w:val="single" w:sz="4" w:space="0" w:color="auto"/>
              <w:bottom w:val="single" w:sz="4" w:space="0" w:color="auto"/>
            </w:tcBorders>
            <w:noWrap/>
            <w:hideMark/>
          </w:tcPr>
          <w:p w14:paraId="6001143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7658728E" w14:textId="77777777" w:rsidTr="0047569E">
        <w:trPr>
          <w:trHeight w:val="325"/>
        </w:trPr>
        <w:tc>
          <w:tcPr>
            <w:tcW w:w="961" w:type="dxa"/>
            <w:tcBorders>
              <w:top w:val="single" w:sz="4" w:space="0" w:color="auto"/>
            </w:tcBorders>
            <w:noWrap/>
            <w:hideMark/>
          </w:tcPr>
          <w:p w14:paraId="4AB77593" w14:textId="77777777" w:rsidR="003A0B12" w:rsidRPr="002C16AF" w:rsidRDefault="003A0B12" w:rsidP="002C16AF">
            <w:pPr>
              <w:jc w:val="both"/>
              <w:rPr>
                <w:rFonts w:asciiTheme="majorHAnsi" w:hAnsiTheme="majorHAnsi" w:cstheme="majorHAnsi"/>
                <w:b/>
                <w:bCs/>
                <w:sz w:val="16"/>
                <w:szCs w:val="16"/>
                <w:lang w:eastAsia="en-GB"/>
              </w:rPr>
            </w:pPr>
            <w:r w:rsidRPr="002C16AF">
              <w:rPr>
                <w:rFonts w:asciiTheme="majorHAnsi" w:hAnsiTheme="majorHAnsi" w:cstheme="majorHAnsi"/>
                <w:b/>
                <w:bCs/>
                <w:sz w:val="16"/>
                <w:szCs w:val="16"/>
                <w:lang w:eastAsia="en-GB"/>
              </w:rPr>
              <w:t>ICAHS 3</w:t>
            </w:r>
          </w:p>
        </w:tc>
        <w:tc>
          <w:tcPr>
            <w:tcW w:w="455" w:type="dxa"/>
            <w:tcBorders>
              <w:top w:val="single" w:sz="4" w:space="0" w:color="auto"/>
            </w:tcBorders>
            <w:noWrap/>
            <w:hideMark/>
          </w:tcPr>
          <w:p w14:paraId="7B265A4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2017</w:t>
            </w:r>
          </w:p>
        </w:tc>
        <w:tc>
          <w:tcPr>
            <w:tcW w:w="2009" w:type="dxa"/>
            <w:tcBorders>
              <w:top w:val="single" w:sz="4" w:space="0" w:color="auto"/>
            </w:tcBorders>
            <w:noWrap/>
            <w:hideMark/>
          </w:tcPr>
          <w:p w14:paraId="096303E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Decision-making under imperfect information and data</w:t>
            </w:r>
          </w:p>
        </w:tc>
        <w:tc>
          <w:tcPr>
            <w:tcW w:w="950" w:type="dxa"/>
            <w:tcBorders>
              <w:top w:val="single" w:sz="4" w:space="0" w:color="auto"/>
            </w:tcBorders>
            <w:noWrap/>
            <w:hideMark/>
          </w:tcPr>
          <w:p w14:paraId="36999D2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tcBorders>
            <w:noWrap/>
            <w:hideMark/>
          </w:tcPr>
          <w:p w14:paraId="3E2E615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6</w:t>
            </w:r>
          </w:p>
        </w:tc>
        <w:tc>
          <w:tcPr>
            <w:tcW w:w="950" w:type="dxa"/>
            <w:tcBorders>
              <w:top w:val="single" w:sz="4" w:space="0" w:color="auto"/>
            </w:tcBorders>
            <w:noWrap/>
            <w:hideMark/>
          </w:tcPr>
          <w:p w14:paraId="1458483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tcBorders>
            <w:noWrap/>
            <w:hideMark/>
          </w:tcPr>
          <w:p w14:paraId="19D6BC5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tcBorders>
            <w:noWrap/>
            <w:hideMark/>
          </w:tcPr>
          <w:p w14:paraId="5E036FE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8</w:t>
            </w:r>
          </w:p>
        </w:tc>
        <w:tc>
          <w:tcPr>
            <w:tcW w:w="950" w:type="dxa"/>
            <w:tcBorders>
              <w:top w:val="single" w:sz="4" w:space="0" w:color="auto"/>
            </w:tcBorders>
            <w:noWrap/>
            <w:hideMark/>
          </w:tcPr>
          <w:p w14:paraId="44E9C4A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tcBorders>
              <w:top w:val="single" w:sz="4" w:space="0" w:color="auto"/>
            </w:tcBorders>
            <w:noWrap/>
            <w:hideMark/>
          </w:tcPr>
          <w:p w14:paraId="5729B6D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749D70BE" w14:textId="77777777" w:rsidTr="0047569E">
        <w:trPr>
          <w:trHeight w:val="285"/>
        </w:trPr>
        <w:tc>
          <w:tcPr>
            <w:tcW w:w="961" w:type="dxa"/>
            <w:noWrap/>
            <w:hideMark/>
          </w:tcPr>
          <w:p w14:paraId="3A2F959E"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4E8B94C1"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5BD69F7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Determining the value of health surveillance</w:t>
            </w:r>
          </w:p>
        </w:tc>
        <w:tc>
          <w:tcPr>
            <w:tcW w:w="950" w:type="dxa"/>
            <w:noWrap/>
            <w:hideMark/>
          </w:tcPr>
          <w:p w14:paraId="53B0223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271CB81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5</w:t>
            </w:r>
          </w:p>
        </w:tc>
        <w:tc>
          <w:tcPr>
            <w:tcW w:w="950" w:type="dxa"/>
            <w:noWrap/>
            <w:hideMark/>
          </w:tcPr>
          <w:p w14:paraId="13CE779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2CD8DC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2C5DE0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9</w:t>
            </w:r>
          </w:p>
        </w:tc>
        <w:tc>
          <w:tcPr>
            <w:tcW w:w="950" w:type="dxa"/>
            <w:noWrap/>
            <w:hideMark/>
          </w:tcPr>
          <w:p w14:paraId="0BE42D7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4BB1873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23D9085A" w14:textId="77777777" w:rsidTr="0047569E">
        <w:trPr>
          <w:trHeight w:val="285"/>
        </w:trPr>
        <w:tc>
          <w:tcPr>
            <w:tcW w:w="961" w:type="dxa"/>
            <w:noWrap/>
            <w:hideMark/>
          </w:tcPr>
          <w:p w14:paraId="56FB1D76"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7AA61C31"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51948C5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Health surveillance in evolving environments</w:t>
            </w:r>
          </w:p>
        </w:tc>
        <w:tc>
          <w:tcPr>
            <w:tcW w:w="950" w:type="dxa"/>
            <w:noWrap/>
            <w:hideMark/>
          </w:tcPr>
          <w:p w14:paraId="4AD7FDD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B31984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8AB31E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AA67CE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6011974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2</w:t>
            </w:r>
          </w:p>
        </w:tc>
        <w:tc>
          <w:tcPr>
            <w:tcW w:w="950" w:type="dxa"/>
            <w:noWrap/>
            <w:hideMark/>
          </w:tcPr>
          <w:p w14:paraId="1DE5936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0B53AB2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57E12D47" w14:textId="77777777" w:rsidTr="0047569E">
        <w:trPr>
          <w:trHeight w:val="285"/>
        </w:trPr>
        <w:tc>
          <w:tcPr>
            <w:tcW w:w="961" w:type="dxa"/>
            <w:noWrap/>
            <w:hideMark/>
          </w:tcPr>
          <w:p w14:paraId="582225BB"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310E6A40"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110EE1A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Health surveillance in resource-constrained environments</w:t>
            </w:r>
          </w:p>
        </w:tc>
        <w:tc>
          <w:tcPr>
            <w:tcW w:w="950" w:type="dxa"/>
            <w:noWrap/>
            <w:hideMark/>
          </w:tcPr>
          <w:p w14:paraId="02F2C92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371C046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6</w:t>
            </w:r>
          </w:p>
        </w:tc>
        <w:tc>
          <w:tcPr>
            <w:tcW w:w="950" w:type="dxa"/>
            <w:noWrap/>
            <w:hideMark/>
          </w:tcPr>
          <w:p w14:paraId="48E1F3C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F53178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1B9786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5</w:t>
            </w:r>
          </w:p>
        </w:tc>
        <w:tc>
          <w:tcPr>
            <w:tcW w:w="950" w:type="dxa"/>
            <w:noWrap/>
            <w:hideMark/>
          </w:tcPr>
          <w:p w14:paraId="534C8DF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3AEE027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2F830384" w14:textId="77777777" w:rsidTr="0047569E">
        <w:trPr>
          <w:trHeight w:val="285"/>
        </w:trPr>
        <w:tc>
          <w:tcPr>
            <w:tcW w:w="961" w:type="dxa"/>
            <w:noWrap/>
            <w:hideMark/>
          </w:tcPr>
          <w:p w14:paraId="7492D069"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3F524142"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519E573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Innovations in health surveillance design and operation</w:t>
            </w:r>
          </w:p>
        </w:tc>
        <w:tc>
          <w:tcPr>
            <w:tcW w:w="950" w:type="dxa"/>
            <w:noWrap/>
            <w:hideMark/>
          </w:tcPr>
          <w:p w14:paraId="4284DBC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DF14D3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2D2C3FF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59E289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6F88F8F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22</w:t>
            </w:r>
          </w:p>
        </w:tc>
        <w:tc>
          <w:tcPr>
            <w:tcW w:w="950" w:type="dxa"/>
            <w:noWrap/>
            <w:hideMark/>
          </w:tcPr>
          <w:p w14:paraId="74C4AF3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3883B35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55179001" w14:textId="77777777" w:rsidTr="0047569E">
        <w:trPr>
          <w:trHeight w:val="285"/>
        </w:trPr>
        <w:tc>
          <w:tcPr>
            <w:tcW w:w="961" w:type="dxa"/>
            <w:noWrap/>
            <w:hideMark/>
          </w:tcPr>
          <w:p w14:paraId="502AB7AB"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11D4F75C"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32224EE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Innovations in monitoring trends</w:t>
            </w:r>
          </w:p>
        </w:tc>
        <w:tc>
          <w:tcPr>
            <w:tcW w:w="950" w:type="dxa"/>
            <w:noWrap/>
            <w:hideMark/>
          </w:tcPr>
          <w:p w14:paraId="6939BC8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67023AE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6</w:t>
            </w:r>
          </w:p>
        </w:tc>
        <w:tc>
          <w:tcPr>
            <w:tcW w:w="950" w:type="dxa"/>
            <w:noWrap/>
            <w:hideMark/>
          </w:tcPr>
          <w:p w14:paraId="5B9A315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4563C1C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F0CD93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4AF5CD2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52CB1CA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324C6E55" w14:textId="77777777" w:rsidTr="0047569E">
        <w:trPr>
          <w:trHeight w:val="285"/>
        </w:trPr>
        <w:tc>
          <w:tcPr>
            <w:tcW w:w="961" w:type="dxa"/>
            <w:noWrap/>
            <w:hideMark/>
          </w:tcPr>
          <w:p w14:paraId="03FC65EF"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04DF4710"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04B5DE0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Innovations in syndromic surveillance</w:t>
            </w:r>
          </w:p>
        </w:tc>
        <w:tc>
          <w:tcPr>
            <w:tcW w:w="950" w:type="dxa"/>
            <w:noWrap/>
            <w:hideMark/>
          </w:tcPr>
          <w:p w14:paraId="5012476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684AAE2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6</w:t>
            </w:r>
          </w:p>
        </w:tc>
        <w:tc>
          <w:tcPr>
            <w:tcW w:w="950" w:type="dxa"/>
            <w:noWrap/>
            <w:hideMark/>
          </w:tcPr>
          <w:p w14:paraId="1408300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926CA1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0024B16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AB5668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3C29FFF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7D40F323" w14:textId="77777777" w:rsidTr="0047569E">
        <w:trPr>
          <w:trHeight w:val="285"/>
        </w:trPr>
        <w:tc>
          <w:tcPr>
            <w:tcW w:w="961" w:type="dxa"/>
            <w:noWrap/>
            <w:hideMark/>
          </w:tcPr>
          <w:p w14:paraId="39318C0B"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3CD661AE"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076E285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Innovations to determine freedom from disease</w:t>
            </w:r>
          </w:p>
        </w:tc>
        <w:tc>
          <w:tcPr>
            <w:tcW w:w="950" w:type="dxa"/>
            <w:noWrap/>
            <w:hideMark/>
          </w:tcPr>
          <w:p w14:paraId="280DE95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38BEA69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2</w:t>
            </w:r>
          </w:p>
        </w:tc>
        <w:tc>
          <w:tcPr>
            <w:tcW w:w="950" w:type="dxa"/>
            <w:noWrap/>
            <w:hideMark/>
          </w:tcPr>
          <w:p w14:paraId="050A013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6BDC84D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05E06C3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0DA3700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520DFA1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3F35A6A9" w14:textId="77777777" w:rsidTr="0047569E">
        <w:trPr>
          <w:trHeight w:val="285"/>
        </w:trPr>
        <w:tc>
          <w:tcPr>
            <w:tcW w:w="961" w:type="dxa"/>
            <w:noWrap/>
            <w:hideMark/>
          </w:tcPr>
          <w:p w14:paraId="3FBC864B"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3E78B966"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386D42D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One Health Surveillance / antimicrobial resistance</w:t>
            </w:r>
          </w:p>
        </w:tc>
        <w:tc>
          <w:tcPr>
            <w:tcW w:w="950" w:type="dxa"/>
            <w:noWrap/>
            <w:hideMark/>
          </w:tcPr>
          <w:p w14:paraId="52AA023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F23656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5</w:t>
            </w:r>
          </w:p>
        </w:tc>
        <w:tc>
          <w:tcPr>
            <w:tcW w:w="950" w:type="dxa"/>
            <w:noWrap/>
            <w:hideMark/>
          </w:tcPr>
          <w:p w14:paraId="6BF5D21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089CCF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1890F7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22281F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50E0129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31E831E8" w14:textId="77777777" w:rsidTr="0047569E">
        <w:trPr>
          <w:trHeight w:val="285"/>
        </w:trPr>
        <w:tc>
          <w:tcPr>
            <w:tcW w:w="961" w:type="dxa"/>
            <w:noWrap/>
            <w:hideMark/>
          </w:tcPr>
          <w:p w14:paraId="084774A5"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385289DA"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517F349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Operational frameworks of health surveillance systems</w:t>
            </w:r>
          </w:p>
        </w:tc>
        <w:tc>
          <w:tcPr>
            <w:tcW w:w="950" w:type="dxa"/>
            <w:noWrap/>
            <w:hideMark/>
          </w:tcPr>
          <w:p w14:paraId="1811F1E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037B063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w:t>
            </w:r>
          </w:p>
        </w:tc>
        <w:tc>
          <w:tcPr>
            <w:tcW w:w="950" w:type="dxa"/>
            <w:noWrap/>
            <w:hideMark/>
          </w:tcPr>
          <w:p w14:paraId="21AA1BC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5F8C38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03715C1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5</w:t>
            </w:r>
          </w:p>
        </w:tc>
        <w:tc>
          <w:tcPr>
            <w:tcW w:w="950" w:type="dxa"/>
            <w:noWrap/>
            <w:hideMark/>
          </w:tcPr>
          <w:p w14:paraId="2EE6E6F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6B36D72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0789CCE7" w14:textId="77777777" w:rsidTr="0047569E">
        <w:trPr>
          <w:trHeight w:val="285"/>
        </w:trPr>
        <w:tc>
          <w:tcPr>
            <w:tcW w:w="961" w:type="dxa"/>
            <w:noWrap/>
            <w:hideMark/>
          </w:tcPr>
          <w:p w14:paraId="33CF632E"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361CA3A5"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03BEB2C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Science and policy: a two-way street</w:t>
            </w:r>
          </w:p>
        </w:tc>
        <w:tc>
          <w:tcPr>
            <w:tcW w:w="950" w:type="dxa"/>
            <w:noWrap/>
            <w:hideMark/>
          </w:tcPr>
          <w:p w14:paraId="45DE55B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D8B0EE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5</w:t>
            </w:r>
          </w:p>
        </w:tc>
        <w:tc>
          <w:tcPr>
            <w:tcW w:w="950" w:type="dxa"/>
            <w:noWrap/>
            <w:hideMark/>
          </w:tcPr>
          <w:p w14:paraId="5AC7309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26A11DE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0E04EE1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w:t>
            </w:r>
          </w:p>
        </w:tc>
        <w:tc>
          <w:tcPr>
            <w:tcW w:w="950" w:type="dxa"/>
            <w:noWrap/>
            <w:hideMark/>
          </w:tcPr>
          <w:p w14:paraId="6E2F245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2192606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00B9D29F" w14:textId="77777777" w:rsidTr="0047569E">
        <w:trPr>
          <w:trHeight w:val="285"/>
        </w:trPr>
        <w:tc>
          <w:tcPr>
            <w:tcW w:w="961" w:type="dxa"/>
            <w:noWrap/>
            <w:hideMark/>
          </w:tcPr>
          <w:p w14:paraId="4C868033"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5EF10CE7"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6088D4B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Working across disciplines and interfaces: "One Health Surveillance"</w:t>
            </w:r>
          </w:p>
        </w:tc>
        <w:tc>
          <w:tcPr>
            <w:tcW w:w="950" w:type="dxa"/>
            <w:noWrap/>
            <w:hideMark/>
          </w:tcPr>
          <w:p w14:paraId="7C55E97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06EA6AC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6A0F012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CACED9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124B12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12</w:t>
            </w:r>
          </w:p>
        </w:tc>
        <w:tc>
          <w:tcPr>
            <w:tcW w:w="950" w:type="dxa"/>
            <w:noWrap/>
            <w:hideMark/>
          </w:tcPr>
          <w:p w14:paraId="27ADB89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4E8FE10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3555154F" w14:textId="77777777" w:rsidTr="0047569E">
        <w:trPr>
          <w:trHeight w:val="42"/>
        </w:trPr>
        <w:tc>
          <w:tcPr>
            <w:tcW w:w="961" w:type="dxa"/>
            <w:noWrap/>
            <w:hideMark/>
          </w:tcPr>
          <w:p w14:paraId="73D1CCE4"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52AE2A55" w14:textId="77777777" w:rsidR="003A0B12" w:rsidRPr="002C16AF" w:rsidRDefault="003A0B12" w:rsidP="002C16AF">
            <w:pPr>
              <w:jc w:val="both"/>
              <w:rPr>
                <w:rFonts w:asciiTheme="majorHAnsi" w:hAnsiTheme="majorHAnsi" w:cstheme="majorHAnsi"/>
                <w:sz w:val="16"/>
                <w:szCs w:val="16"/>
                <w:lang w:eastAsia="en-GB"/>
              </w:rPr>
            </w:pPr>
          </w:p>
        </w:tc>
        <w:tc>
          <w:tcPr>
            <w:tcW w:w="2009" w:type="dxa"/>
            <w:tcBorders>
              <w:bottom w:val="single" w:sz="4" w:space="0" w:color="auto"/>
            </w:tcBorders>
            <w:noWrap/>
            <w:hideMark/>
          </w:tcPr>
          <w:p w14:paraId="7E9AECA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NA</w:t>
            </w:r>
          </w:p>
        </w:tc>
        <w:tc>
          <w:tcPr>
            <w:tcW w:w="950" w:type="dxa"/>
            <w:tcBorders>
              <w:bottom w:val="single" w:sz="4" w:space="0" w:color="auto"/>
            </w:tcBorders>
            <w:noWrap/>
            <w:hideMark/>
          </w:tcPr>
          <w:p w14:paraId="18757A1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3</w:t>
            </w:r>
          </w:p>
        </w:tc>
        <w:tc>
          <w:tcPr>
            <w:tcW w:w="950" w:type="dxa"/>
            <w:tcBorders>
              <w:bottom w:val="single" w:sz="4" w:space="0" w:color="auto"/>
            </w:tcBorders>
            <w:noWrap/>
            <w:hideMark/>
          </w:tcPr>
          <w:p w14:paraId="6DDA944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bottom w:val="single" w:sz="4" w:space="0" w:color="auto"/>
            </w:tcBorders>
            <w:noWrap/>
            <w:hideMark/>
          </w:tcPr>
          <w:p w14:paraId="75768D2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15</w:t>
            </w:r>
          </w:p>
        </w:tc>
        <w:tc>
          <w:tcPr>
            <w:tcW w:w="950" w:type="dxa"/>
            <w:tcBorders>
              <w:bottom w:val="single" w:sz="4" w:space="0" w:color="auto"/>
            </w:tcBorders>
            <w:noWrap/>
            <w:hideMark/>
          </w:tcPr>
          <w:p w14:paraId="60110D3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w:t>
            </w:r>
          </w:p>
        </w:tc>
        <w:tc>
          <w:tcPr>
            <w:tcW w:w="950" w:type="dxa"/>
            <w:tcBorders>
              <w:bottom w:val="single" w:sz="4" w:space="0" w:color="auto"/>
            </w:tcBorders>
            <w:noWrap/>
            <w:hideMark/>
          </w:tcPr>
          <w:p w14:paraId="0934FC4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bottom w:val="single" w:sz="4" w:space="0" w:color="auto"/>
            </w:tcBorders>
            <w:noWrap/>
            <w:hideMark/>
          </w:tcPr>
          <w:p w14:paraId="50BF0EF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2</w:t>
            </w:r>
          </w:p>
        </w:tc>
        <w:tc>
          <w:tcPr>
            <w:tcW w:w="951" w:type="dxa"/>
            <w:tcBorders>
              <w:bottom w:val="single" w:sz="4" w:space="0" w:color="auto"/>
            </w:tcBorders>
            <w:noWrap/>
            <w:hideMark/>
          </w:tcPr>
          <w:p w14:paraId="4CAD745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436850CE" w14:textId="77777777" w:rsidTr="0047569E">
        <w:trPr>
          <w:trHeight w:val="30"/>
        </w:trPr>
        <w:tc>
          <w:tcPr>
            <w:tcW w:w="961" w:type="dxa"/>
            <w:tcBorders>
              <w:bottom w:val="single" w:sz="4" w:space="0" w:color="auto"/>
            </w:tcBorders>
            <w:noWrap/>
            <w:hideMark/>
          </w:tcPr>
          <w:p w14:paraId="1C1F3A2A"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tcBorders>
              <w:bottom w:val="single" w:sz="4" w:space="0" w:color="auto"/>
            </w:tcBorders>
            <w:noWrap/>
            <w:hideMark/>
          </w:tcPr>
          <w:p w14:paraId="75071527" w14:textId="77777777" w:rsidR="003A0B12" w:rsidRPr="002C16AF" w:rsidRDefault="003A0B12" w:rsidP="002C16AF">
            <w:pPr>
              <w:jc w:val="both"/>
              <w:rPr>
                <w:rFonts w:asciiTheme="majorHAnsi" w:hAnsiTheme="majorHAnsi" w:cstheme="majorHAnsi"/>
                <w:sz w:val="16"/>
                <w:szCs w:val="16"/>
                <w:lang w:eastAsia="en-GB"/>
              </w:rPr>
            </w:pPr>
          </w:p>
        </w:tc>
        <w:tc>
          <w:tcPr>
            <w:tcW w:w="2009" w:type="dxa"/>
            <w:tcBorders>
              <w:top w:val="single" w:sz="4" w:space="0" w:color="auto"/>
              <w:bottom w:val="single" w:sz="4" w:space="0" w:color="auto"/>
            </w:tcBorders>
            <w:noWrap/>
            <w:hideMark/>
          </w:tcPr>
          <w:p w14:paraId="2BC3665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i/>
                <w:iCs/>
                <w:sz w:val="16"/>
                <w:szCs w:val="16"/>
                <w:lang w:eastAsia="en-GB"/>
              </w:rPr>
              <w:t>Total</w:t>
            </w:r>
          </w:p>
        </w:tc>
        <w:tc>
          <w:tcPr>
            <w:tcW w:w="950" w:type="dxa"/>
            <w:tcBorders>
              <w:top w:val="single" w:sz="4" w:space="0" w:color="auto"/>
              <w:bottom w:val="single" w:sz="4" w:space="0" w:color="auto"/>
            </w:tcBorders>
            <w:noWrap/>
            <w:hideMark/>
          </w:tcPr>
          <w:p w14:paraId="0239E41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3</w:t>
            </w:r>
          </w:p>
        </w:tc>
        <w:tc>
          <w:tcPr>
            <w:tcW w:w="950" w:type="dxa"/>
            <w:tcBorders>
              <w:top w:val="single" w:sz="4" w:space="0" w:color="auto"/>
              <w:bottom w:val="single" w:sz="4" w:space="0" w:color="auto"/>
            </w:tcBorders>
            <w:noWrap/>
            <w:hideMark/>
          </w:tcPr>
          <w:p w14:paraId="01F0CB1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45</w:t>
            </w:r>
          </w:p>
        </w:tc>
        <w:tc>
          <w:tcPr>
            <w:tcW w:w="950" w:type="dxa"/>
            <w:tcBorders>
              <w:top w:val="single" w:sz="4" w:space="0" w:color="auto"/>
              <w:bottom w:val="single" w:sz="4" w:space="0" w:color="auto"/>
            </w:tcBorders>
            <w:noWrap/>
            <w:hideMark/>
          </w:tcPr>
          <w:p w14:paraId="0DACA8D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15</w:t>
            </w:r>
          </w:p>
        </w:tc>
        <w:tc>
          <w:tcPr>
            <w:tcW w:w="950" w:type="dxa"/>
            <w:tcBorders>
              <w:top w:val="single" w:sz="4" w:space="0" w:color="auto"/>
              <w:bottom w:val="single" w:sz="4" w:space="0" w:color="auto"/>
            </w:tcBorders>
            <w:noWrap/>
            <w:hideMark/>
          </w:tcPr>
          <w:p w14:paraId="33D655B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w:t>
            </w:r>
          </w:p>
        </w:tc>
        <w:tc>
          <w:tcPr>
            <w:tcW w:w="950" w:type="dxa"/>
            <w:tcBorders>
              <w:top w:val="single" w:sz="4" w:space="0" w:color="auto"/>
              <w:bottom w:val="single" w:sz="4" w:space="0" w:color="auto"/>
            </w:tcBorders>
            <w:noWrap/>
            <w:hideMark/>
          </w:tcPr>
          <w:p w14:paraId="40A3D56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67</w:t>
            </w:r>
          </w:p>
        </w:tc>
        <w:tc>
          <w:tcPr>
            <w:tcW w:w="950" w:type="dxa"/>
            <w:tcBorders>
              <w:top w:val="single" w:sz="4" w:space="0" w:color="auto"/>
              <w:bottom w:val="single" w:sz="4" w:space="0" w:color="auto"/>
            </w:tcBorders>
            <w:noWrap/>
            <w:hideMark/>
          </w:tcPr>
          <w:p w14:paraId="683E71F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2</w:t>
            </w:r>
          </w:p>
        </w:tc>
        <w:tc>
          <w:tcPr>
            <w:tcW w:w="951" w:type="dxa"/>
            <w:tcBorders>
              <w:top w:val="single" w:sz="4" w:space="0" w:color="auto"/>
              <w:bottom w:val="single" w:sz="4" w:space="0" w:color="auto"/>
            </w:tcBorders>
            <w:noWrap/>
            <w:hideMark/>
          </w:tcPr>
          <w:p w14:paraId="3EA7B8C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5C11FC3E" w14:textId="77777777" w:rsidTr="0047569E">
        <w:trPr>
          <w:trHeight w:val="30"/>
        </w:trPr>
        <w:tc>
          <w:tcPr>
            <w:tcW w:w="961" w:type="dxa"/>
            <w:tcBorders>
              <w:top w:val="single" w:sz="4" w:space="0" w:color="auto"/>
            </w:tcBorders>
            <w:noWrap/>
            <w:hideMark/>
          </w:tcPr>
          <w:p w14:paraId="13F0D69D" w14:textId="77777777" w:rsidR="003A0B12" w:rsidRPr="002C16AF" w:rsidRDefault="003A0B12" w:rsidP="002C16AF">
            <w:pPr>
              <w:jc w:val="both"/>
              <w:rPr>
                <w:rFonts w:asciiTheme="majorHAnsi" w:hAnsiTheme="majorHAnsi" w:cstheme="majorHAnsi"/>
                <w:b/>
                <w:bCs/>
                <w:sz w:val="16"/>
                <w:szCs w:val="16"/>
                <w:lang w:eastAsia="en-GB"/>
              </w:rPr>
            </w:pPr>
            <w:r w:rsidRPr="002C16AF">
              <w:rPr>
                <w:rFonts w:asciiTheme="majorHAnsi" w:hAnsiTheme="majorHAnsi" w:cstheme="majorHAnsi"/>
                <w:b/>
                <w:bCs/>
                <w:sz w:val="16"/>
                <w:szCs w:val="16"/>
                <w:lang w:eastAsia="en-GB"/>
              </w:rPr>
              <w:lastRenderedPageBreak/>
              <w:t>ICAHS 4</w:t>
            </w:r>
          </w:p>
        </w:tc>
        <w:tc>
          <w:tcPr>
            <w:tcW w:w="455" w:type="dxa"/>
            <w:tcBorders>
              <w:top w:val="single" w:sz="4" w:space="0" w:color="auto"/>
            </w:tcBorders>
            <w:noWrap/>
            <w:hideMark/>
          </w:tcPr>
          <w:p w14:paraId="19660E7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2022</w:t>
            </w:r>
          </w:p>
        </w:tc>
        <w:tc>
          <w:tcPr>
            <w:tcW w:w="2009" w:type="dxa"/>
            <w:tcBorders>
              <w:top w:val="single" w:sz="4" w:space="0" w:color="auto"/>
            </w:tcBorders>
            <w:noWrap/>
            <w:hideMark/>
          </w:tcPr>
          <w:p w14:paraId="7B45C55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African Swine Fever</w:t>
            </w:r>
          </w:p>
        </w:tc>
        <w:tc>
          <w:tcPr>
            <w:tcW w:w="950" w:type="dxa"/>
            <w:tcBorders>
              <w:top w:val="single" w:sz="4" w:space="0" w:color="auto"/>
            </w:tcBorders>
            <w:noWrap/>
            <w:hideMark/>
          </w:tcPr>
          <w:p w14:paraId="3EB194B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w:t>
            </w:r>
          </w:p>
        </w:tc>
        <w:tc>
          <w:tcPr>
            <w:tcW w:w="950" w:type="dxa"/>
            <w:tcBorders>
              <w:top w:val="single" w:sz="4" w:space="0" w:color="auto"/>
            </w:tcBorders>
            <w:noWrap/>
            <w:hideMark/>
          </w:tcPr>
          <w:p w14:paraId="3DA239B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5</w:t>
            </w:r>
          </w:p>
        </w:tc>
        <w:tc>
          <w:tcPr>
            <w:tcW w:w="950" w:type="dxa"/>
            <w:tcBorders>
              <w:top w:val="single" w:sz="4" w:space="0" w:color="auto"/>
            </w:tcBorders>
            <w:noWrap/>
            <w:hideMark/>
          </w:tcPr>
          <w:p w14:paraId="138D258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tcBorders>
            <w:noWrap/>
            <w:hideMark/>
          </w:tcPr>
          <w:p w14:paraId="28E4A1A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tcBorders>
            <w:noWrap/>
            <w:hideMark/>
          </w:tcPr>
          <w:p w14:paraId="661A4AB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tcBorders>
            <w:noWrap/>
            <w:hideMark/>
          </w:tcPr>
          <w:p w14:paraId="19B0965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tcBorders>
              <w:top w:val="single" w:sz="4" w:space="0" w:color="auto"/>
            </w:tcBorders>
            <w:noWrap/>
            <w:hideMark/>
          </w:tcPr>
          <w:p w14:paraId="26851F6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2034DB1A" w14:textId="77777777" w:rsidTr="0047569E">
        <w:trPr>
          <w:trHeight w:val="285"/>
        </w:trPr>
        <w:tc>
          <w:tcPr>
            <w:tcW w:w="961" w:type="dxa"/>
            <w:noWrap/>
            <w:hideMark/>
          </w:tcPr>
          <w:p w14:paraId="3906CA37"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548864D7"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0F91632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Cross-sector and One Health surveillance</w:t>
            </w:r>
          </w:p>
        </w:tc>
        <w:tc>
          <w:tcPr>
            <w:tcW w:w="950" w:type="dxa"/>
            <w:noWrap/>
            <w:hideMark/>
          </w:tcPr>
          <w:p w14:paraId="57966B5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40A1F3E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2017B1D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480DC69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389628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14</w:t>
            </w:r>
          </w:p>
        </w:tc>
        <w:tc>
          <w:tcPr>
            <w:tcW w:w="950" w:type="dxa"/>
            <w:noWrap/>
            <w:hideMark/>
          </w:tcPr>
          <w:p w14:paraId="5894D72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610F3A1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65B44A76" w14:textId="77777777" w:rsidTr="0047569E">
        <w:trPr>
          <w:trHeight w:val="30"/>
        </w:trPr>
        <w:tc>
          <w:tcPr>
            <w:tcW w:w="961" w:type="dxa"/>
            <w:noWrap/>
            <w:hideMark/>
          </w:tcPr>
          <w:p w14:paraId="26C63E40"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1E4EF3DF"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55EE649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Cross-sector surveillance</w:t>
            </w:r>
          </w:p>
        </w:tc>
        <w:tc>
          <w:tcPr>
            <w:tcW w:w="950" w:type="dxa"/>
            <w:noWrap/>
            <w:hideMark/>
          </w:tcPr>
          <w:p w14:paraId="3595BFA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w:t>
            </w:r>
          </w:p>
        </w:tc>
        <w:tc>
          <w:tcPr>
            <w:tcW w:w="950" w:type="dxa"/>
            <w:noWrap/>
            <w:hideMark/>
          </w:tcPr>
          <w:p w14:paraId="4CE58E5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9</w:t>
            </w:r>
          </w:p>
        </w:tc>
        <w:tc>
          <w:tcPr>
            <w:tcW w:w="950" w:type="dxa"/>
            <w:noWrap/>
            <w:hideMark/>
          </w:tcPr>
          <w:p w14:paraId="1D921C9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09605C5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0C292D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3887F9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3693F89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09B8E74F" w14:textId="77777777" w:rsidTr="0047569E">
        <w:trPr>
          <w:trHeight w:val="285"/>
        </w:trPr>
        <w:tc>
          <w:tcPr>
            <w:tcW w:w="961" w:type="dxa"/>
            <w:noWrap/>
            <w:hideMark/>
          </w:tcPr>
          <w:p w14:paraId="50998501"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2C906609"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3AA7259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Epidemics &amp; emerging diseases</w:t>
            </w:r>
          </w:p>
        </w:tc>
        <w:tc>
          <w:tcPr>
            <w:tcW w:w="950" w:type="dxa"/>
            <w:noWrap/>
            <w:hideMark/>
          </w:tcPr>
          <w:p w14:paraId="395AB04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w:t>
            </w:r>
          </w:p>
        </w:tc>
        <w:tc>
          <w:tcPr>
            <w:tcW w:w="950" w:type="dxa"/>
            <w:noWrap/>
            <w:hideMark/>
          </w:tcPr>
          <w:p w14:paraId="672A89F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5</w:t>
            </w:r>
          </w:p>
        </w:tc>
        <w:tc>
          <w:tcPr>
            <w:tcW w:w="950" w:type="dxa"/>
            <w:noWrap/>
            <w:hideMark/>
          </w:tcPr>
          <w:p w14:paraId="65FC66B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EFDFA2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071E14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BDBAB4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354741E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22452EFE" w14:textId="77777777" w:rsidTr="0047569E">
        <w:trPr>
          <w:trHeight w:val="285"/>
        </w:trPr>
        <w:tc>
          <w:tcPr>
            <w:tcW w:w="961" w:type="dxa"/>
            <w:noWrap/>
            <w:hideMark/>
          </w:tcPr>
          <w:p w14:paraId="158E7CBF"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165463F6"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3E8B8D2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Integrating Novel Methods in Surveillance</w:t>
            </w:r>
          </w:p>
        </w:tc>
        <w:tc>
          <w:tcPr>
            <w:tcW w:w="950" w:type="dxa"/>
            <w:noWrap/>
            <w:hideMark/>
          </w:tcPr>
          <w:p w14:paraId="0AB351F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w:t>
            </w:r>
          </w:p>
        </w:tc>
        <w:tc>
          <w:tcPr>
            <w:tcW w:w="950" w:type="dxa"/>
            <w:noWrap/>
            <w:hideMark/>
          </w:tcPr>
          <w:p w14:paraId="1C5C0BB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8</w:t>
            </w:r>
          </w:p>
        </w:tc>
        <w:tc>
          <w:tcPr>
            <w:tcW w:w="950" w:type="dxa"/>
            <w:noWrap/>
            <w:hideMark/>
          </w:tcPr>
          <w:p w14:paraId="1239E13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181D93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D77E65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13</w:t>
            </w:r>
          </w:p>
        </w:tc>
        <w:tc>
          <w:tcPr>
            <w:tcW w:w="950" w:type="dxa"/>
            <w:noWrap/>
            <w:hideMark/>
          </w:tcPr>
          <w:p w14:paraId="7BCC174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5FA6EFA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2B566606" w14:textId="77777777" w:rsidTr="0047569E">
        <w:trPr>
          <w:trHeight w:val="30"/>
        </w:trPr>
        <w:tc>
          <w:tcPr>
            <w:tcW w:w="961" w:type="dxa"/>
            <w:noWrap/>
            <w:hideMark/>
          </w:tcPr>
          <w:p w14:paraId="53287EC5"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539423C2"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752C9B4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One Health</w:t>
            </w:r>
          </w:p>
        </w:tc>
        <w:tc>
          <w:tcPr>
            <w:tcW w:w="950" w:type="dxa"/>
            <w:noWrap/>
            <w:hideMark/>
          </w:tcPr>
          <w:p w14:paraId="4B4E99E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w:t>
            </w:r>
          </w:p>
        </w:tc>
        <w:tc>
          <w:tcPr>
            <w:tcW w:w="950" w:type="dxa"/>
            <w:noWrap/>
            <w:hideMark/>
          </w:tcPr>
          <w:p w14:paraId="2174523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5</w:t>
            </w:r>
          </w:p>
        </w:tc>
        <w:tc>
          <w:tcPr>
            <w:tcW w:w="950" w:type="dxa"/>
            <w:noWrap/>
            <w:hideMark/>
          </w:tcPr>
          <w:p w14:paraId="06840E5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327A03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23AFC3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BEA51F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47588E4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730E3A57" w14:textId="77777777" w:rsidTr="0047569E">
        <w:trPr>
          <w:trHeight w:val="30"/>
        </w:trPr>
        <w:tc>
          <w:tcPr>
            <w:tcW w:w="961" w:type="dxa"/>
            <w:noWrap/>
            <w:hideMark/>
          </w:tcPr>
          <w:p w14:paraId="2C94CB2C"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63432C67"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230B47F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Surveillance data</w:t>
            </w:r>
          </w:p>
        </w:tc>
        <w:tc>
          <w:tcPr>
            <w:tcW w:w="950" w:type="dxa"/>
            <w:noWrap/>
            <w:hideMark/>
          </w:tcPr>
          <w:p w14:paraId="02D441F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w:t>
            </w:r>
          </w:p>
        </w:tc>
        <w:tc>
          <w:tcPr>
            <w:tcW w:w="950" w:type="dxa"/>
            <w:noWrap/>
            <w:hideMark/>
          </w:tcPr>
          <w:p w14:paraId="23F48BC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11</w:t>
            </w:r>
          </w:p>
        </w:tc>
        <w:tc>
          <w:tcPr>
            <w:tcW w:w="950" w:type="dxa"/>
            <w:noWrap/>
            <w:hideMark/>
          </w:tcPr>
          <w:p w14:paraId="77A26D3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2D43C7DE"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C576C3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14</w:t>
            </w:r>
          </w:p>
        </w:tc>
        <w:tc>
          <w:tcPr>
            <w:tcW w:w="950" w:type="dxa"/>
            <w:noWrap/>
            <w:hideMark/>
          </w:tcPr>
          <w:p w14:paraId="60DE2D6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46818D1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1ABA0282" w14:textId="77777777" w:rsidTr="0047569E">
        <w:trPr>
          <w:trHeight w:val="285"/>
        </w:trPr>
        <w:tc>
          <w:tcPr>
            <w:tcW w:w="961" w:type="dxa"/>
            <w:noWrap/>
            <w:hideMark/>
          </w:tcPr>
          <w:p w14:paraId="03E10209"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6A17D26F"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2EF0CAE3"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Surveillance for epidemics &amp; emerging diseases</w:t>
            </w:r>
          </w:p>
        </w:tc>
        <w:tc>
          <w:tcPr>
            <w:tcW w:w="950" w:type="dxa"/>
            <w:noWrap/>
            <w:hideMark/>
          </w:tcPr>
          <w:p w14:paraId="66A422C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41D734F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7817A73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3E75FD3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4F80B92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13</w:t>
            </w:r>
          </w:p>
        </w:tc>
        <w:tc>
          <w:tcPr>
            <w:tcW w:w="950" w:type="dxa"/>
            <w:noWrap/>
            <w:hideMark/>
          </w:tcPr>
          <w:p w14:paraId="184B8BD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253FC6C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39478720" w14:textId="77777777" w:rsidTr="0047569E">
        <w:trPr>
          <w:trHeight w:val="285"/>
        </w:trPr>
        <w:tc>
          <w:tcPr>
            <w:tcW w:w="961" w:type="dxa"/>
            <w:noWrap/>
            <w:hideMark/>
          </w:tcPr>
          <w:p w14:paraId="6CFF07DF"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0EDDDD44"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707E38DD"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Translating surveillance outcomes into policy - How to deal with the uncertainty</w:t>
            </w:r>
          </w:p>
        </w:tc>
        <w:tc>
          <w:tcPr>
            <w:tcW w:w="950" w:type="dxa"/>
            <w:noWrap/>
            <w:hideMark/>
          </w:tcPr>
          <w:p w14:paraId="35587B3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w:t>
            </w:r>
          </w:p>
        </w:tc>
        <w:tc>
          <w:tcPr>
            <w:tcW w:w="950" w:type="dxa"/>
            <w:noWrap/>
            <w:hideMark/>
          </w:tcPr>
          <w:p w14:paraId="1E7B831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10</w:t>
            </w:r>
          </w:p>
        </w:tc>
        <w:tc>
          <w:tcPr>
            <w:tcW w:w="950" w:type="dxa"/>
            <w:noWrap/>
            <w:hideMark/>
          </w:tcPr>
          <w:p w14:paraId="0360ACE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2ED4C49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3386F66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BA7989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4794F9FF"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034008F8" w14:textId="77777777" w:rsidTr="0047569E">
        <w:trPr>
          <w:trHeight w:val="285"/>
        </w:trPr>
        <w:tc>
          <w:tcPr>
            <w:tcW w:w="961" w:type="dxa"/>
            <w:noWrap/>
            <w:hideMark/>
          </w:tcPr>
          <w:p w14:paraId="0817A827"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0E9A8543" w14:textId="77777777" w:rsidR="003A0B12" w:rsidRPr="002C16AF" w:rsidRDefault="003A0B12" w:rsidP="002C16AF">
            <w:pPr>
              <w:jc w:val="both"/>
              <w:rPr>
                <w:rFonts w:asciiTheme="majorHAnsi" w:hAnsiTheme="majorHAnsi" w:cstheme="majorHAnsi"/>
                <w:sz w:val="16"/>
                <w:szCs w:val="16"/>
                <w:lang w:eastAsia="en-GB"/>
              </w:rPr>
            </w:pPr>
          </w:p>
        </w:tc>
        <w:tc>
          <w:tcPr>
            <w:tcW w:w="2009" w:type="dxa"/>
            <w:noWrap/>
            <w:hideMark/>
          </w:tcPr>
          <w:p w14:paraId="58F70B71"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Translating surveillance outcomes into policy, decisions and actions</w:t>
            </w:r>
          </w:p>
        </w:tc>
        <w:tc>
          <w:tcPr>
            <w:tcW w:w="950" w:type="dxa"/>
            <w:noWrap/>
            <w:hideMark/>
          </w:tcPr>
          <w:p w14:paraId="187EDF6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64DDEE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046CB49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5957A2B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noWrap/>
            <w:hideMark/>
          </w:tcPr>
          <w:p w14:paraId="120A65B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15</w:t>
            </w:r>
          </w:p>
        </w:tc>
        <w:tc>
          <w:tcPr>
            <w:tcW w:w="950" w:type="dxa"/>
            <w:noWrap/>
            <w:hideMark/>
          </w:tcPr>
          <w:p w14:paraId="33EC83B5"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noWrap/>
            <w:hideMark/>
          </w:tcPr>
          <w:p w14:paraId="13857E0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r>
      <w:tr w:rsidR="003A0B12" w:rsidRPr="002C16AF" w14:paraId="4F6855F4" w14:textId="77777777" w:rsidTr="0047569E">
        <w:trPr>
          <w:trHeight w:val="30"/>
        </w:trPr>
        <w:tc>
          <w:tcPr>
            <w:tcW w:w="961" w:type="dxa"/>
            <w:noWrap/>
            <w:hideMark/>
          </w:tcPr>
          <w:p w14:paraId="4AA4B755"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noWrap/>
            <w:hideMark/>
          </w:tcPr>
          <w:p w14:paraId="2C1A1C49" w14:textId="77777777" w:rsidR="003A0B12" w:rsidRPr="002C16AF" w:rsidRDefault="003A0B12" w:rsidP="002C16AF">
            <w:pPr>
              <w:jc w:val="both"/>
              <w:rPr>
                <w:rFonts w:asciiTheme="majorHAnsi" w:hAnsiTheme="majorHAnsi" w:cstheme="majorHAnsi"/>
                <w:sz w:val="16"/>
                <w:szCs w:val="16"/>
                <w:lang w:eastAsia="en-GB"/>
              </w:rPr>
            </w:pPr>
          </w:p>
        </w:tc>
        <w:tc>
          <w:tcPr>
            <w:tcW w:w="2009" w:type="dxa"/>
            <w:tcBorders>
              <w:bottom w:val="single" w:sz="4" w:space="0" w:color="auto"/>
            </w:tcBorders>
            <w:noWrap/>
            <w:hideMark/>
          </w:tcPr>
          <w:p w14:paraId="00BBF64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NA</w:t>
            </w:r>
          </w:p>
        </w:tc>
        <w:tc>
          <w:tcPr>
            <w:tcW w:w="950" w:type="dxa"/>
            <w:tcBorders>
              <w:bottom w:val="single" w:sz="4" w:space="0" w:color="auto"/>
            </w:tcBorders>
            <w:noWrap/>
            <w:hideMark/>
          </w:tcPr>
          <w:p w14:paraId="45E4193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bottom w:val="single" w:sz="4" w:space="0" w:color="auto"/>
            </w:tcBorders>
            <w:noWrap/>
            <w:hideMark/>
          </w:tcPr>
          <w:p w14:paraId="5AA87D38"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bottom w:val="single" w:sz="4" w:space="0" w:color="auto"/>
            </w:tcBorders>
            <w:noWrap/>
            <w:hideMark/>
          </w:tcPr>
          <w:p w14:paraId="0CD8A6A9"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bottom w:val="single" w:sz="4" w:space="0" w:color="auto"/>
            </w:tcBorders>
            <w:noWrap/>
            <w:hideMark/>
          </w:tcPr>
          <w:p w14:paraId="6E7E68A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bottom w:val="single" w:sz="4" w:space="0" w:color="auto"/>
            </w:tcBorders>
            <w:noWrap/>
            <w:hideMark/>
          </w:tcPr>
          <w:p w14:paraId="02819E8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bottom w:val="single" w:sz="4" w:space="0" w:color="auto"/>
            </w:tcBorders>
            <w:noWrap/>
            <w:hideMark/>
          </w:tcPr>
          <w:p w14:paraId="41AC064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tcBorders>
              <w:bottom w:val="single" w:sz="4" w:space="0" w:color="auto"/>
            </w:tcBorders>
            <w:noWrap/>
            <w:hideMark/>
          </w:tcPr>
          <w:p w14:paraId="7F78913A"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3</w:t>
            </w:r>
          </w:p>
        </w:tc>
      </w:tr>
      <w:tr w:rsidR="003A0B12" w:rsidRPr="002C16AF" w14:paraId="06288F29" w14:textId="77777777" w:rsidTr="0047569E">
        <w:trPr>
          <w:trHeight w:val="30"/>
        </w:trPr>
        <w:tc>
          <w:tcPr>
            <w:tcW w:w="961" w:type="dxa"/>
            <w:tcBorders>
              <w:bottom w:val="single" w:sz="4" w:space="0" w:color="auto"/>
            </w:tcBorders>
            <w:noWrap/>
            <w:hideMark/>
          </w:tcPr>
          <w:p w14:paraId="70B66374" w14:textId="77777777" w:rsidR="003A0B12" w:rsidRPr="002C16AF" w:rsidRDefault="003A0B12" w:rsidP="002C16AF">
            <w:pPr>
              <w:jc w:val="both"/>
              <w:rPr>
                <w:rFonts w:asciiTheme="majorHAnsi" w:hAnsiTheme="majorHAnsi" w:cstheme="majorHAnsi"/>
                <w:b/>
                <w:bCs/>
                <w:sz w:val="16"/>
                <w:szCs w:val="16"/>
                <w:lang w:eastAsia="en-GB"/>
              </w:rPr>
            </w:pPr>
          </w:p>
        </w:tc>
        <w:tc>
          <w:tcPr>
            <w:tcW w:w="455" w:type="dxa"/>
            <w:tcBorders>
              <w:bottom w:val="single" w:sz="4" w:space="0" w:color="auto"/>
            </w:tcBorders>
            <w:noWrap/>
            <w:hideMark/>
          </w:tcPr>
          <w:p w14:paraId="201255F9" w14:textId="77777777" w:rsidR="003A0B12" w:rsidRPr="002C16AF" w:rsidRDefault="003A0B12" w:rsidP="002C16AF">
            <w:pPr>
              <w:jc w:val="both"/>
              <w:rPr>
                <w:rFonts w:asciiTheme="majorHAnsi" w:hAnsiTheme="majorHAnsi" w:cstheme="majorHAnsi"/>
                <w:sz w:val="16"/>
                <w:szCs w:val="16"/>
                <w:lang w:eastAsia="en-GB"/>
              </w:rPr>
            </w:pPr>
          </w:p>
        </w:tc>
        <w:tc>
          <w:tcPr>
            <w:tcW w:w="2009" w:type="dxa"/>
            <w:tcBorders>
              <w:top w:val="single" w:sz="4" w:space="0" w:color="auto"/>
              <w:bottom w:val="single" w:sz="4" w:space="0" w:color="auto"/>
            </w:tcBorders>
            <w:noWrap/>
            <w:hideMark/>
          </w:tcPr>
          <w:p w14:paraId="7A78FC9B"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i/>
                <w:iCs/>
                <w:sz w:val="16"/>
                <w:szCs w:val="16"/>
                <w:lang w:eastAsia="en-GB"/>
              </w:rPr>
              <w:t>Total</w:t>
            </w:r>
          </w:p>
        </w:tc>
        <w:tc>
          <w:tcPr>
            <w:tcW w:w="950" w:type="dxa"/>
            <w:tcBorders>
              <w:top w:val="single" w:sz="4" w:space="0" w:color="auto"/>
              <w:bottom w:val="single" w:sz="4" w:space="0" w:color="auto"/>
            </w:tcBorders>
            <w:noWrap/>
            <w:hideMark/>
          </w:tcPr>
          <w:p w14:paraId="0E7FCDA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7</w:t>
            </w:r>
          </w:p>
        </w:tc>
        <w:tc>
          <w:tcPr>
            <w:tcW w:w="950" w:type="dxa"/>
            <w:tcBorders>
              <w:top w:val="single" w:sz="4" w:space="0" w:color="auto"/>
              <w:bottom w:val="single" w:sz="4" w:space="0" w:color="auto"/>
            </w:tcBorders>
            <w:noWrap/>
            <w:hideMark/>
          </w:tcPr>
          <w:p w14:paraId="58007520"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53</w:t>
            </w:r>
          </w:p>
        </w:tc>
        <w:tc>
          <w:tcPr>
            <w:tcW w:w="950" w:type="dxa"/>
            <w:tcBorders>
              <w:top w:val="single" w:sz="4" w:space="0" w:color="auto"/>
              <w:bottom w:val="single" w:sz="4" w:space="0" w:color="auto"/>
            </w:tcBorders>
            <w:noWrap/>
            <w:hideMark/>
          </w:tcPr>
          <w:p w14:paraId="249A2C16"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bottom w:val="single" w:sz="4" w:space="0" w:color="auto"/>
            </w:tcBorders>
            <w:noWrap/>
            <w:hideMark/>
          </w:tcPr>
          <w:p w14:paraId="499A0B34"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0" w:type="dxa"/>
            <w:tcBorders>
              <w:top w:val="single" w:sz="4" w:space="0" w:color="auto"/>
              <w:bottom w:val="single" w:sz="4" w:space="0" w:color="auto"/>
            </w:tcBorders>
            <w:noWrap/>
            <w:hideMark/>
          </w:tcPr>
          <w:p w14:paraId="35ACA11C"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69</w:t>
            </w:r>
          </w:p>
        </w:tc>
        <w:tc>
          <w:tcPr>
            <w:tcW w:w="950" w:type="dxa"/>
            <w:tcBorders>
              <w:top w:val="single" w:sz="4" w:space="0" w:color="auto"/>
              <w:bottom w:val="single" w:sz="4" w:space="0" w:color="auto"/>
            </w:tcBorders>
            <w:noWrap/>
            <w:hideMark/>
          </w:tcPr>
          <w:p w14:paraId="3AAD7322"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0</w:t>
            </w:r>
          </w:p>
        </w:tc>
        <w:tc>
          <w:tcPr>
            <w:tcW w:w="951" w:type="dxa"/>
            <w:tcBorders>
              <w:top w:val="single" w:sz="4" w:space="0" w:color="auto"/>
              <w:bottom w:val="single" w:sz="4" w:space="0" w:color="auto"/>
            </w:tcBorders>
            <w:noWrap/>
            <w:hideMark/>
          </w:tcPr>
          <w:p w14:paraId="2B26AF87" w14:textId="77777777" w:rsidR="003A0B12" w:rsidRPr="002C16AF" w:rsidRDefault="003A0B12" w:rsidP="002C16AF">
            <w:pPr>
              <w:jc w:val="both"/>
              <w:rPr>
                <w:rFonts w:asciiTheme="majorHAnsi" w:hAnsiTheme="majorHAnsi" w:cstheme="majorHAnsi"/>
                <w:sz w:val="16"/>
                <w:szCs w:val="16"/>
                <w:lang w:eastAsia="en-GB"/>
              </w:rPr>
            </w:pPr>
            <w:r w:rsidRPr="002C16AF">
              <w:rPr>
                <w:rFonts w:asciiTheme="majorHAnsi" w:hAnsiTheme="majorHAnsi" w:cstheme="majorHAnsi"/>
                <w:sz w:val="16"/>
                <w:szCs w:val="16"/>
                <w:lang w:eastAsia="en-GB"/>
              </w:rPr>
              <w:t>3</w:t>
            </w:r>
          </w:p>
        </w:tc>
      </w:tr>
    </w:tbl>
    <w:p w14:paraId="7976D4AA" w14:textId="77777777" w:rsidR="000703A5" w:rsidRPr="002C16AF" w:rsidRDefault="000703A5" w:rsidP="002C16AF">
      <w:pPr>
        <w:pStyle w:val="Referencelist"/>
        <w:numPr>
          <w:ilvl w:val="0"/>
          <w:numId w:val="0"/>
        </w:numPr>
        <w:jc w:val="both"/>
        <w:rPr>
          <w:rFonts w:asciiTheme="majorHAnsi" w:hAnsiTheme="majorHAnsi" w:cstheme="majorHAnsi"/>
        </w:rPr>
      </w:pPr>
    </w:p>
    <w:sectPr w:rsidR="000703A5" w:rsidRPr="002C16AF" w:rsidSect="002C16AF">
      <w:type w:val="continuous"/>
      <w:pgSz w:w="11900" w:h="16840"/>
      <w:pgMar w:top="1134" w:right="907" w:bottom="1304" w:left="907" w:header="709" w:footer="709"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E04"/>
    <w:multiLevelType w:val="hybridMultilevel"/>
    <w:tmpl w:val="7ACE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C1765"/>
    <w:multiLevelType w:val="hybridMultilevel"/>
    <w:tmpl w:val="10FCDD2E"/>
    <w:lvl w:ilvl="0" w:tplc="AE7C6306">
      <w:start w:val="1"/>
      <w:numFmt w:val="decimal"/>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E93FDB"/>
    <w:multiLevelType w:val="hybridMultilevel"/>
    <w:tmpl w:val="49083274"/>
    <w:lvl w:ilvl="0" w:tplc="CBD05EC2">
      <w:start w:val="1"/>
      <w:numFmt w:val="decimal"/>
      <w:lvlText w:val="%1."/>
      <w:lvlJc w:val="left"/>
      <w:pPr>
        <w:ind w:left="720"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4663D"/>
    <w:multiLevelType w:val="hybridMultilevel"/>
    <w:tmpl w:val="1E620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AF420B"/>
    <w:multiLevelType w:val="hybridMultilevel"/>
    <w:tmpl w:val="CF8E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42E49"/>
    <w:multiLevelType w:val="hybridMultilevel"/>
    <w:tmpl w:val="2E9A2E96"/>
    <w:lvl w:ilvl="0" w:tplc="AB72E620">
      <w:start w:val="1"/>
      <w:numFmt w:val="decimal"/>
      <w:pStyle w:val="Referencelist"/>
      <w:lvlText w:val="%1."/>
      <w:lvlJc w:val="left"/>
      <w:pPr>
        <w:ind w:left="360" w:hanging="360"/>
      </w:pPr>
      <w:rPr>
        <w:rFonts w:ascii="Arial" w:hAnsi="Arial" w:hint="default"/>
        <w:b w:val="0"/>
        <w:i w:val="0"/>
        <w:color w:val="auto"/>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717DEB"/>
    <w:multiLevelType w:val="hybridMultilevel"/>
    <w:tmpl w:val="1930CE4A"/>
    <w:lvl w:ilvl="0" w:tplc="7E98344E">
      <w:start w:val="1"/>
      <w:numFmt w:val="decimal"/>
      <w:lvlText w:val="%1."/>
      <w:lvlJc w:val="left"/>
      <w:pPr>
        <w:ind w:left="360" w:hanging="360"/>
      </w:pPr>
      <w:rPr>
        <w:rFonts w:ascii="Arial" w:hAnsi="Arial" w:hint="default"/>
        <w:b w:val="0"/>
        <w:i w:val="0"/>
        <w:color w:val="auto"/>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F41547"/>
    <w:multiLevelType w:val="hybridMultilevel"/>
    <w:tmpl w:val="E38C2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504ACA"/>
    <w:multiLevelType w:val="hybridMultilevel"/>
    <w:tmpl w:val="0050415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CC0018"/>
    <w:multiLevelType w:val="hybridMultilevel"/>
    <w:tmpl w:val="50DEC8AC"/>
    <w:lvl w:ilvl="0" w:tplc="AE7C6306">
      <w:start w:val="1"/>
      <w:numFmt w:val="decimal"/>
      <w:lvlText w:val="%1."/>
      <w:lvlJc w:val="left"/>
      <w:pPr>
        <w:ind w:left="720"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F39C7"/>
    <w:multiLevelType w:val="hybridMultilevel"/>
    <w:tmpl w:val="D8C21ED6"/>
    <w:lvl w:ilvl="0" w:tplc="1B944DB6">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9724C1"/>
    <w:multiLevelType w:val="hybridMultilevel"/>
    <w:tmpl w:val="B0FA0B52"/>
    <w:lvl w:ilvl="0" w:tplc="D124F9F8">
      <w:start w:val="1"/>
      <w:numFmt w:val="decimal"/>
      <w:lvlText w:val="%1."/>
      <w:lvlJc w:val="left"/>
      <w:pPr>
        <w:ind w:left="720"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9D4AF6"/>
    <w:multiLevelType w:val="hybridMultilevel"/>
    <w:tmpl w:val="F00EE61A"/>
    <w:lvl w:ilvl="0" w:tplc="3F7CCFE4">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50F19"/>
    <w:multiLevelType w:val="multilevel"/>
    <w:tmpl w:val="C4F203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FC1C61"/>
    <w:multiLevelType w:val="hybridMultilevel"/>
    <w:tmpl w:val="644AC3FC"/>
    <w:lvl w:ilvl="0" w:tplc="1A66FA56">
      <w:start w:val="1"/>
      <w:numFmt w:val="lowerRoman"/>
      <w:lvlText w:val="(%1)"/>
      <w:lvlJc w:val="left"/>
      <w:pPr>
        <w:ind w:left="1004" w:hanging="720"/>
      </w:pPr>
      <w:rPr>
        <w:rFonts w:hint="default"/>
        <w:sz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11E683B"/>
    <w:multiLevelType w:val="hybridMultilevel"/>
    <w:tmpl w:val="F42CC60A"/>
    <w:lvl w:ilvl="0" w:tplc="D124F9F8">
      <w:start w:val="1"/>
      <w:numFmt w:val="decimal"/>
      <w:lvlText w:val="%1."/>
      <w:lvlJc w:val="left"/>
      <w:pPr>
        <w:ind w:left="1004" w:hanging="360"/>
      </w:pPr>
      <w:rPr>
        <w:rFonts w:ascii="Arial" w:hAnsi="Arial" w:hint="default"/>
        <w:b w:val="0"/>
        <w:i w:val="0"/>
        <w:sz w:val="18"/>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48A46FD7"/>
    <w:multiLevelType w:val="hybridMultilevel"/>
    <w:tmpl w:val="AC88735E"/>
    <w:lvl w:ilvl="0" w:tplc="CBD05EC2">
      <w:start w:val="1"/>
      <w:numFmt w:val="decimal"/>
      <w:lvlText w:val="%1."/>
      <w:lvlJc w:val="left"/>
      <w:pPr>
        <w:ind w:left="720"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4641"/>
    <w:multiLevelType w:val="hybridMultilevel"/>
    <w:tmpl w:val="0A9075F6"/>
    <w:lvl w:ilvl="0" w:tplc="268AF696">
      <w:start w:val="1"/>
      <w:numFmt w:val="decimal"/>
      <w:lvlText w:val="%1."/>
      <w:lvlJc w:val="left"/>
      <w:pPr>
        <w:ind w:left="360" w:hanging="360"/>
      </w:pPr>
      <w:rPr>
        <w:rFonts w:ascii="Arial" w:hAnsi="Arial" w:hint="default"/>
        <w:b w:val="0"/>
        <w:i w:val="0"/>
        <w:color w:val="auto"/>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6F36B5"/>
    <w:multiLevelType w:val="hybridMultilevel"/>
    <w:tmpl w:val="1B9E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D0EC9"/>
    <w:multiLevelType w:val="hybridMultilevel"/>
    <w:tmpl w:val="D31C54C6"/>
    <w:lvl w:ilvl="0" w:tplc="AE7C6306">
      <w:start w:val="1"/>
      <w:numFmt w:val="decimal"/>
      <w:lvlText w:val="%1."/>
      <w:lvlJc w:val="left"/>
      <w:pPr>
        <w:ind w:left="360" w:hanging="360"/>
      </w:pPr>
      <w:rPr>
        <w:rFonts w:ascii="Arial" w:hAnsi="Arial" w:hint="default"/>
        <w:b w:val="0"/>
        <w:i w:val="0"/>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9656D6"/>
    <w:multiLevelType w:val="hybridMultilevel"/>
    <w:tmpl w:val="9A7E6F9E"/>
    <w:lvl w:ilvl="0" w:tplc="CD6648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8755F0"/>
    <w:multiLevelType w:val="hybridMultilevel"/>
    <w:tmpl w:val="31747E52"/>
    <w:lvl w:ilvl="0" w:tplc="AE7C6306">
      <w:start w:val="1"/>
      <w:numFmt w:val="decimal"/>
      <w:lvlText w:val="%1."/>
      <w:lvlJc w:val="left"/>
      <w:pPr>
        <w:ind w:left="720"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747CCA"/>
    <w:multiLevelType w:val="hybridMultilevel"/>
    <w:tmpl w:val="C34E0532"/>
    <w:lvl w:ilvl="0" w:tplc="ECF86974">
      <w:start w:val="1"/>
      <w:numFmt w:val="decimal"/>
      <w:lvlText w:val="%1."/>
      <w:lvlJc w:val="left"/>
      <w:pPr>
        <w:ind w:left="360" w:hanging="360"/>
      </w:pPr>
      <w:rPr>
        <w:rFonts w:ascii="Arial" w:hAnsi="Arial" w:hint="default"/>
        <w:b w:val="0"/>
        <w:i w:val="0"/>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DD61E0"/>
    <w:multiLevelType w:val="hybridMultilevel"/>
    <w:tmpl w:val="3132CA38"/>
    <w:lvl w:ilvl="0" w:tplc="D124F9F8">
      <w:start w:val="1"/>
      <w:numFmt w:val="decimal"/>
      <w:lvlText w:val="%1."/>
      <w:lvlJc w:val="left"/>
      <w:pPr>
        <w:ind w:left="720"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5104180">
    <w:abstractNumId w:val="13"/>
  </w:num>
  <w:num w:numId="2" w16cid:durableId="1280184656">
    <w:abstractNumId w:val="4"/>
  </w:num>
  <w:num w:numId="3" w16cid:durableId="743528904">
    <w:abstractNumId w:val="3"/>
  </w:num>
  <w:num w:numId="4" w16cid:durableId="690647656">
    <w:abstractNumId w:val="14"/>
  </w:num>
  <w:num w:numId="5" w16cid:durableId="909005102">
    <w:abstractNumId w:val="9"/>
  </w:num>
  <w:num w:numId="6" w16cid:durableId="117261047">
    <w:abstractNumId w:val="11"/>
  </w:num>
  <w:num w:numId="7" w16cid:durableId="693070534">
    <w:abstractNumId w:val="23"/>
  </w:num>
  <w:num w:numId="8" w16cid:durableId="1583180615">
    <w:abstractNumId w:val="15"/>
  </w:num>
  <w:num w:numId="9" w16cid:durableId="1648852593">
    <w:abstractNumId w:val="2"/>
  </w:num>
  <w:num w:numId="10" w16cid:durableId="260651490">
    <w:abstractNumId w:val="16"/>
  </w:num>
  <w:num w:numId="11" w16cid:durableId="1132288469">
    <w:abstractNumId w:val="1"/>
  </w:num>
  <w:num w:numId="12" w16cid:durableId="295838648">
    <w:abstractNumId w:val="22"/>
  </w:num>
  <w:num w:numId="13" w16cid:durableId="1722947708">
    <w:abstractNumId w:val="17"/>
  </w:num>
  <w:num w:numId="14" w16cid:durableId="66651542">
    <w:abstractNumId w:val="6"/>
  </w:num>
  <w:num w:numId="15" w16cid:durableId="1733194722">
    <w:abstractNumId w:val="5"/>
  </w:num>
  <w:num w:numId="16" w16cid:durableId="468864583">
    <w:abstractNumId w:val="5"/>
    <w:lvlOverride w:ilvl="0">
      <w:startOverride w:val="1"/>
    </w:lvlOverride>
  </w:num>
  <w:num w:numId="17" w16cid:durableId="117914672">
    <w:abstractNumId w:val="5"/>
    <w:lvlOverride w:ilvl="0">
      <w:startOverride w:val="1"/>
    </w:lvlOverride>
  </w:num>
  <w:num w:numId="18" w16cid:durableId="330572921">
    <w:abstractNumId w:val="5"/>
    <w:lvlOverride w:ilvl="0">
      <w:startOverride w:val="1"/>
    </w:lvlOverride>
  </w:num>
  <w:num w:numId="19" w16cid:durableId="443890437">
    <w:abstractNumId w:val="0"/>
  </w:num>
  <w:num w:numId="20" w16cid:durableId="807743726">
    <w:abstractNumId w:val="19"/>
  </w:num>
  <w:num w:numId="21" w16cid:durableId="1288464032">
    <w:abstractNumId w:val="21"/>
  </w:num>
  <w:num w:numId="22" w16cid:durableId="1441341534">
    <w:abstractNumId w:val="20"/>
  </w:num>
  <w:num w:numId="23" w16cid:durableId="360127533">
    <w:abstractNumId w:val="7"/>
  </w:num>
  <w:num w:numId="24" w16cid:durableId="1988431455">
    <w:abstractNumId w:val="10"/>
  </w:num>
  <w:num w:numId="25" w16cid:durableId="1525633164">
    <w:abstractNumId w:val="18"/>
  </w:num>
  <w:num w:numId="26" w16cid:durableId="1228689030">
    <w:abstractNumId w:val="12"/>
  </w:num>
  <w:num w:numId="27" w16cid:durableId="1929851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BE"/>
    <w:rsid w:val="000037AF"/>
    <w:rsid w:val="00006EDA"/>
    <w:rsid w:val="000075B2"/>
    <w:rsid w:val="00024863"/>
    <w:rsid w:val="00032DBE"/>
    <w:rsid w:val="00037E36"/>
    <w:rsid w:val="00043419"/>
    <w:rsid w:val="000518F1"/>
    <w:rsid w:val="000534FE"/>
    <w:rsid w:val="000703A5"/>
    <w:rsid w:val="00072BA2"/>
    <w:rsid w:val="000A081E"/>
    <w:rsid w:val="000A0A3E"/>
    <w:rsid w:val="000A1377"/>
    <w:rsid w:val="000A32FD"/>
    <w:rsid w:val="000B63EF"/>
    <w:rsid w:val="000C6FB6"/>
    <w:rsid w:val="000D088B"/>
    <w:rsid w:val="000D1512"/>
    <w:rsid w:val="000D2885"/>
    <w:rsid w:val="000E0A04"/>
    <w:rsid w:val="000E321A"/>
    <w:rsid w:val="000E348F"/>
    <w:rsid w:val="000E36AC"/>
    <w:rsid w:val="000F036F"/>
    <w:rsid w:val="000F10AF"/>
    <w:rsid w:val="000F17A0"/>
    <w:rsid w:val="000F6408"/>
    <w:rsid w:val="000F6472"/>
    <w:rsid w:val="000F6B17"/>
    <w:rsid w:val="00101D6A"/>
    <w:rsid w:val="00102BD5"/>
    <w:rsid w:val="00103887"/>
    <w:rsid w:val="00107943"/>
    <w:rsid w:val="00116D1E"/>
    <w:rsid w:val="001270CB"/>
    <w:rsid w:val="001306CF"/>
    <w:rsid w:val="0013085A"/>
    <w:rsid w:val="00133DA1"/>
    <w:rsid w:val="0013767C"/>
    <w:rsid w:val="00147DFD"/>
    <w:rsid w:val="0017488E"/>
    <w:rsid w:val="0019247A"/>
    <w:rsid w:val="0019455D"/>
    <w:rsid w:val="001A0092"/>
    <w:rsid w:val="001B026F"/>
    <w:rsid w:val="001C4F29"/>
    <w:rsid w:val="001D4A08"/>
    <w:rsid w:val="001E2086"/>
    <w:rsid w:val="001E79E9"/>
    <w:rsid w:val="001F537F"/>
    <w:rsid w:val="00211732"/>
    <w:rsid w:val="0021286E"/>
    <w:rsid w:val="00213567"/>
    <w:rsid w:val="00213A4D"/>
    <w:rsid w:val="0022088D"/>
    <w:rsid w:val="00220A41"/>
    <w:rsid w:val="00224394"/>
    <w:rsid w:val="0022789C"/>
    <w:rsid w:val="0023148E"/>
    <w:rsid w:val="00245A24"/>
    <w:rsid w:val="002479E7"/>
    <w:rsid w:val="002677A2"/>
    <w:rsid w:val="00272411"/>
    <w:rsid w:val="00273F3C"/>
    <w:rsid w:val="00277C50"/>
    <w:rsid w:val="00292300"/>
    <w:rsid w:val="002A264B"/>
    <w:rsid w:val="002A70BE"/>
    <w:rsid w:val="002B07A4"/>
    <w:rsid w:val="002B1228"/>
    <w:rsid w:val="002B3A81"/>
    <w:rsid w:val="002B601E"/>
    <w:rsid w:val="002B6E74"/>
    <w:rsid w:val="002C16AF"/>
    <w:rsid w:val="002C3831"/>
    <w:rsid w:val="002D2443"/>
    <w:rsid w:val="002D3814"/>
    <w:rsid w:val="002D545F"/>
    <w:rsid w:val="002D6511"/>
    <w:rsid w:val="002D6666"/>
    <w:rsid w:val="002E0FD1"/>
    <w:rsid w:val="002E59A3"/>
    <w:rsid w:val="002E5E46"/>
    <w:rsid w:val="002E640A"/>
    <w:rsid w:val="002F6EDF"/>
    <w:rsid w:val="00304FCC"/>
    <w:rsid w:val="00307152"/>
    <w:rsid w:val="00311A8B"/>
    <w:rsid w:val="003170F5"/>
    <w:rsid w:val="003238E2"/>
    <w:rsid w:val="00330327"/>
    <w:rsid w:val="0033497E"/>
    <w:rsid w:val="00336A67"/>
    <w:rsid w:val="003419EF"/>
    <w:rsid w:val="0034590A"/>
    <w:rsid w:val="00346521"/>
    <w:rsid w:val="00351C80"/>
    <w:rsid w:val="003608F7"/>
    <w:rsid w:val="00362721"/>
    <w:rsid w:val="00364812"/>
    <w:rsid w:val="003703C1"/>
    <w:rsid w:val="003812AA"/>
    <w:rsid w:val="0039398E"/>
    <w:rsid w:val="003A0B12"/>
    <w:rsid w:val="003A4D3C"/>
    <w:rsid w:val="003B3404"/>
    <w:rsid w:val="003B464F"/>
    <w:rsid w:val="003C2B8B"/>
    <w:rsid w:val="003C4D29"/>
    <w:rsid w:val="003C6B08"/>
    <w:rsid w:val="003D3FB6"/>
    <w:rsid w:val="003D76DC"/>
    <w:rsid w:val="003E1E34"/>
    <w:rsid w:val="003E2B30"/>
    <w:rsid w:val="003E3981"/>
    <w:rsid w:val="00425AD4"/>
    <w:rsid w:val="004278CB"/>
    <w:rsid w:val="00431151"/>
    <w:rsid w:val="00443895"/>
    <w:rsid w:val="00444DA4"/>
    <w:rsid w:val="004473DC"/>
    <w:rsid w:val="00450613"/>
    <w:rsid w:val="004518D9"/>
    <w:rsid w:val="00452DC7"/>
    <w:rsid w:val="00457228"/>
    <w:rsid w:val="004600B1"/>
    <w:rsid w:val="0046085E"/>
    <w:rsid w:val="00467C08"/>
    <w:rsid w:val="004743EE"/>
    <w:rsid w:val="004749CF"/>
    <w:rsid w:val="00475440"/>
    <w:rsid w:val="00476C1A"/>
    <w:rsid w:val="00482F13"/>
    <w:rsid w:val="0048633A"/>
    <w:rsid w:val="00494DBB"/>
    <w:rsid w:val="004A4056"/>
    <w:rsid w:val="004B16E8"/>
    <w:rsid w:val="004B1CA0"/>
    <w:rsid w:val="004C1230"/>
    <w:rsid w:val="004C3DF5"/>
    <w:rsid w:val="004C480D"/>
    <w:rsid w:val="004E5642"/>
    <w:rsid w:val="004E65F2"/>
    <w:rsid w:val="004F490E"/>
    <w:rsid w:val="004F574D"/>
    <w:rsid w:val="00510C35"/>
    <w:rsid w:val="0052197F"/>
    <w:rsid w:val="005221AE"/>
    <w:rsid w:val="005223FF"/>
    <w:rsid w:val="00533812"/>
    <w:rsid w:val="00535B71"/>
    <w:rsid w:val="00540A12"/>
    <w:rsid w:val="005552FC"/>
    <w:rsid w:val="005602BD"/>
    <w:rsid w:val="00565CBE"/>
    <w:rsid w:val="00572F52"/>
    <w:rsid w:val="00574812"/>
    <w:rsid w:val="00582924"/>
    <w:rsid w:val="00592A2D"/>
    <w:rsid w:val="005B3237"/>
    <w:rsid w:val="005C1826"/>
    <w:rsid w:val="005C5B0F"/>
    <w:rsid w:val="005C7559"/>
    <w:rsid w:val="005D2164"/>
    <w:rsid w:val="005E5CF9"/>
    <w:rsid w:val="005E7235"/>
    <w:rsid w:val="005E7F28"/>
    <w:rsid w:val="00603DA4"/>
    <w:rsid w:val="00611119"/>
    <w:rsid w:val="00614D05"/>
    <w:rsid w:val="006157AA"/>
    <w:rsid w:val="00626BF9"/>
    <w:rsid w:val="00631ECE"/>
    <w:rsid w:val="006350E9"/>
    <w:rsid w:val="00640F77"/>
    <w:rsid w:val="006414A4"/>
    <w:rsid w:val="0066215D"/>
    <w:rsid w:val="006641BD"/>
    <w:rsid w:val="00664A2C"/>
    <w:rsid w:val="006763F9"/>
    <w:rsid w:val="006856B3"/>
    <w:rsid w:val="006910FD"/>
    <w:rsid w:val="00694CFB"/>
    <w:rsid w:val="00697F13"/>
    <w:rsid w:val="006A503E"/>
    <w:rsid w:val="006B0AFE"/>
    <w:rsid w:val="006B36BE"/>
    <w:rsid w:val="006C343C"/>
    <w:rsid w:val="006C3797"/>
    <w:rsid w:val="006C3B78"/>
    <w:rsid w:val="006C76B2"/>
    <w:rsid w:val="006E0945"/>
    <w:rsid w:val="00713630"/>
    <w:rsid w:val="00715FEE"/>
    <w:rsid w:val="0071761F"/>
    <w:rsid w:val="007236ED"/>
    <w:rsid w:val="00724F1A"/>
    <w:rsid w:val="0072634A"/>
    <w:rsid w:val="00727E22"/>
    <w:rsid w:val="00733D83"/>
    <w:rsid w:val="007441C8"/>
    <w:rsid w:val="00763F7F"/>
    <w:rsid w:val="007650C5"/>
    <w:rsid w:val="00767BC8"/>
    <w:rsid w:val="007706C2"/>
    <w:rsid w:val="00776E8F"/>
    <w:rsid w:val="0078084C"/>
    <w:rsid w:val="00783F02"/>
    <w:rsid w:val="00784CFD"/>
    <w:rsid w:val="00787B2E"/>
    <w:rsid w:val="007A179A"/>
    <w:rsid w:val="007A548A"/>
    <w:rsid w:val="007B51FE"/>
    <w:rsid w:val="007B5A77"/>
    <w:rsid w:val="007D2C00"/>
    <w:rsid w:val="007E21CE"/>
    <w:rsid w:val="007E46B0"/>
    <w:rsid w:val="007E4F4A"/>
    <w:rsid w:val="007E66A7"/>
    <w:rsid w:val="007F1494"/>
    <w:rsid w:val="007F5ECC"/>
    <w:rsid w:val="007F74A3"/>
    <w:rsid w:val="0080584C"/>
    <w:rsid w:val="0081009C"/>
    <w:rsid w:val="008248A7"/>
    <w:rsid w:val="00830DA5"/>
    <w:rsid w:val="00831B7A"/>
    <w:rsid w:val="00836909"/>
    <w:rsid w:val="00851339"/>
    <w:rsid w:val="008604D9"/>
    <w:rsid w:val="00876B98"/>
    <w:rsid w:val="00885F3F"/>
    <w:rsid w:val="00887DA5"/>
    <w:rsid w:val="0089699D"/>
    <w:rsid w:val="008976BE"/>
    <w:rsid w:val="008A1DAE"/>
    <w:rsid w:val="008A512D"/>
    <w:rsid w:val="008B68B7"/>
    <w:rsid w:val="008B7FBE"/>
    <w:rsid w:val="008C0817"/>
    <w:rsid w:val="008C2832"/>
    <w:rsid w:val="008C4FBF"/>
    <w:rsid w:val="008D34CA"/>
    <w:rsid w:val="008D390A"/>
    <w:rsid w:val="008E6F70"/>
    <w:rsid w:val="008F6692"/>
    <w:rsid w:val="00920A9A"/>
    <w:rsid w:val="00922BB4"/>
    <w:rsid w:val="00930430"/>
    <w:rsid w:val="00934AFE"/>
    <w:rsid w:val="00934F96"/>
    <w:rsid w:val="00937B04"/>
    <w:rsid w:val="0096352F"/>
    <w:rsid w:val="00971221"/>
    <w:rsid w:val="00981342"/>
    <w:rsid w:val="00981DB0"/>
    <w:rsid w:val="009927B7"/>
    <w:rsid w:val="00996772"/>
    <w:rsid w:val="009A5623"/>
    <w:rsid w:val="009B330D"/>
    <w:rsid w:val="009B79F8"/>
    <w:rsid w:val="009D3591"/>
    <w:rsid w:val="009D6DF2"/>
    <w:rsid w:val="009F340B"/>
    <w:rsid w:val="00A10029"/>
    <w:rsid w:val="00A124AA"/>
    <w:rsid w:val="00A151F1"/>
    <w:rsid w:val="00A26D01"/>
    <w:rsid w:val="00A320AC"/>
    <w:rsid w:val="00A40CA2"/>
    <w:rsid w:val="00A432FE"/>
    <w:rsid w:val="00A44BA0"/>
    <w:rsid w:val="00A46466"/>
    <w:rsid w:val="00A476DF"/>
    <w:rsid w:val="00A7048E"/>
    <w:rsid w:val="00A74B53"/>
    <w:rsid w:val="00A87632"/>
    <w:rsid w:val="00A971AD"/>
    <w:rsid w:val="00A974F7"/>
    <w:rsid w:val="00AA69E8"/>
    <w:rsid w:val="00AB1393"/>
    <w:rsid w:val="00AB14F2"/>
    <w:rsid w:val="00AB2D7F"/>
    <w:rsid w:val="00AC38F8"/>
    <w:rsid w:val="00AD000D"/>
    <w:rsid w:val="00AD313A"/>
    <w:rsid w:val="00AD3B12"/>
    <w:rsid w:val="00AD532C"/>
    <w:rsid w:val="00AE5412"/>
    <w:rsid w:val="00AE707E"/>
    <w:rsid w:val="00AF72C1"/>
    <w:rsid w:val="00B069AA"/>
    <w:rsid w:val="00B15AAF"/>
    <w:rsid w:val="00B20669"/>
    <w:rsid w:val="00B46BCA"/>
    <w:rsid w:val="00B645C2"/>
    <w:rsid w:val="00B64DA7"/>
    <w:rsid w:val="00B6710A"/>
    <w:rsid w:val="00B84D1F"/>
    <w:rsid w:val="00B90255"/>
    <w:rsid w:val="00B906EB"/>
    <w:rsid w:val="00B915D0"/>
    <w:rsid w:val="00B91D07"/>
    <w:rsid w:val="00B95C4F"/>
    <w:rsid w:val="00BA0482"/>
    <w:rsid w:val="00BA148E"/>
    <w:rsid w:val="00BA48EF"/>
    <w:rsid w:val="00BA4DA8"/>
    <w:rsid w:val="00BA6369"/>
    <w:rsid w:val="00BB5D6E"/>
    <w:rsid w:val="00BC0878"/>
    <w:rsid w:val="00BC170E"/>
    <w:rsid w:val="00BC35C5"/>
    <w:rsid w:val="00BC6A87"/>
    <w:rsid w:val="00BC7071"/>
    <w:rsid w:val="00BD48EA"/>
    <w:rsid w:val="00BE0229"/>
    <w:rsid w:val="00BE438E"/>
    <w:rsid w:val="00BE6706"/>
    <w:rsid w:val="00BF6332"/>
    <w:rsid w:val="00BF6DB9"/>
    <w:rsid w:val="00C05A6A"/>
    <w:rsid w:val="00C0643A"/>
    <w:rsid w:val="00C242DE"/>
    <w:rsid w:val="00C24E07"/>
    <w:rsid w:val="00C36E99"/>
    <w:rsid w:val="00C37ECD"/>
    <w:rsid w:val="00C515E0"/>
    <w:rsid w:val="00C51E78"/>
    <w:rsid w:val="00C546A7"/>
    <w:rsid w:val="00C71189"/>
    <w:rsid w:val="00C736C4"/>
    <w:rsid w:val="00C83C84"/>
    <w:rsid w:val="00C84BA3"/>
    <w:rsid w:val="00C950C9"/>
    <w:rsid w:val="00CA7E1C"/>
    <w:rsid w:val="00CC363B"/>
    <w:rsid w:val="00CD482B"/>
    <w:rsid w:val="00CD76D4"/>
    <w:rsid w:val="00CE2167"/>
    <w:rsid w:val="00CE3A98"/>
    <w:rsid w:val="00CF0CD9"/>
    <w:rsid w:val="00CF2BF9"/>
    <w:rsid w:val="00CF7355"/>
    <w:rsid w:val="00D03DD9"/>
    <w:rsid w:val="00D0419D"/>
    <w:rsid w:val="00D07BE7"/>
    <w:rsid w:val="00D1301E"/>
    <w:rsid w:val="00D13BFC"/>
    <w:rsid w:val="00D16528"/>
    <w:rsid w:val="00D16FF6"/>
    <w:rsid w:val="00D23775"/>
    <w:rsid w:val="00D32155"/>
    <w:rsid w:val="00D35C23"/>
    <w:rsid w:val="00D362BA"/>
    <w:rsid w:val="00D3763B"/>
    <w:rsid w:val="00D476CA"/>
    <w:rsid w:val="00D52FC0"/>
    <w:rsid w:val="00D56706"/>
    <w:rsid w:val="00D56D32"/>
    <w:rsid w:val="00D83E46"/>
    <w:rsid w:val="00D91D71"/>
    <w:rsid w:val="00DA0DC0"/>
    <w:rsid w:val="00DA2E2F"/>
    <w:rsid w:val="00DA3206"/>
    <w:rsid w:val="00DB5354"/>
    <w:rsid w:val="00DC3228"/>
    <w:rsid w:val="00DF2139"/>
    <w:rsid w:val="00DF3CC9"/>
    <w:rsid w:val="00E00FD0"/>
    <w:rsid w:val="00E0608C"/>
    <w:rsid w:val="00E11C86"/>
    <w:rsid w:val="00E1483B"/>
    <w:rsid w:val="00E157CB"/>
    <w:rsid w:val="00E2124F"/>
    <w:rsid w:val="00E33CC6"/>
    <w:rsid w:val="00E348CC"/>
    <w:rsid w:val="00E40DC4"/>
    <w:rsid w:val="00E41633"/>
    <w:rsid w:val="00E54B80"/>
    <w:rsid w:val="00E66086"/>
    <w:rsid w:val="00E878F2"/>
    <w:rsid w:val="00E963F2"/>
    <w:rsid w:val="00EB737C"/>
    <w:rsid w:val="00EC0CAF"/>
    <w:rsid w:val="00EC0FAD"/>
    <w:rsid w:val="00EC5B85"/>
    <w:rsid w:val="00EC7D77"/>
    <w:rsid w:val="00ED50B5"/>
    <w:rsid w:val="00ED5B57"/>
    <w:rsid w:val="00ED7D80"/>
    <w:rsid w:val="00EF3F56"/>
    <w:rsid w:val="00EF4F53"/>
    <w:rsid w:val="00EF6212"/>
    <w:rsid w:val="00F04083"/>
    <w:rsid w:val="00F10A75"/>
    <w:rsid w:val="00F16A84"/>
    <w:rsid w:val="00F3112B"/>
    <w:rsid w:val="00F455D9"/>
    <w:rsid w:val="00F51203"/>
    <w:rsid w:val="00F52DC2"/>
    <w:rsid w:val="00F56402"/>
    <w:rsid w:val="00F56F11"/>
    <w:rsid w:val="00F60DA3"/>
    <w:rsid w:val="00F6216A"/>
    <w:rsid w:val="00F6416C"/>
    <w:rsid w:val="00F71836"/>
    <w:rsid w:val="00F86714"/>
    <w:rsid w:val="00F8750C"/>
    <w:rsid w:val="00F90832"/>
    <w:rsid w:val="00F963F5"/>
    <w:rsid w:val="00FA03C8"/>
    <w:rsid w:val="00FA2382"/>
    <w:rsid w:val="00FA3ED6"/>
    <w:rsid w:val="00FA42E3"/>
    <w:rsid w:val="00FA7D6B"/>
    <w:rsid w:val="00FB24B0"/>
    <w:rsid w:val="00FC1C9D"/>
    <w:rsid w:val="00FC2553"/>
    <w:rsid w:val="00FD073C"/>
    <w:rsid w:val="00FD0A74"/>
    <w:rsid w:val="00FE3DEB"/>
    <w:rsid w:val="00FE64F4"/>
    <w:rsid w:val="00FF7E68"/>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36C56"/>
  <w14:defaultImageDpi w14:val="300"/>
  <w15:docId w15:val="{7A71501E-788A-41D9-AA60-4CCE6464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0D"/>
    <w:rPr>
      <w:rFonts w:ascii="Arial" w:hAnsi="Arial"/>
      <w:sz w:val="18"/>
      <w:lang w:val="en-GB"/>
    </w:rPr>
  </w:style>
  <w:style w:type="paragraph" w:styleId="Titre1">
    <w:name w:val="heading 1"/>
    <w:basedOn w:val="Normal"/>
    <w:next w:val="Normal"/>
    <w:link w:val="Titre1Car"/>
    <w:uiPriority w:val="9"/>
    <w:rsid w:val="009927B7"/>
    <w:pPr>
      <w:keepNext/>
      <w:keepLines/>
      <w:outlineLvl w:val="0"/>
    </w:pPr>
    <w:rPr>
      <w:rFonts w:eastAsiaTheme="majorEastAsia" w:cstheme="majorBidi"/>
      <w:b/>
      <w:sz w:val="2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83C84"/>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C83C84"/>
    <w:rPr>
      <w:rFonts w:ascii="Lucida Grande" w:hAnsi="Lucida Grande" w:cs="Lucida Grande"/>
      <w:sz w:val="18"/>
      <w:szCs w:val="18"/>
      <w:lang w:val="en-AU"/>
    </w:rPr>
  </w:style>
  <w:style w:type="paragraph" w:styleId="NormalWeb">
    <w:name w:val="Normal (Web)"/>
    <w:basedOn w:val="Normal"/>
    <w:uiPriority w:val="99"/>
    <w:unhideWhenUsed/>
    <w:rsid w:val="00032DBE"/>
    <w:pPr>
      <w:spacing w:before="100" w:beforeAutospacing="1" w:after="100" w:afterAutospacing="1"/>
    </w:pPr>
    <w:rPr>
      <w:rFonts w:ascii="Times" w:hAnsi="Times" w:cs="Times New Roman"/>
      <w:sz w:val="20"/>
      <w:szCs w:val="20"/>
      <w:lang w:val="en-NZ"/>
    </w:rPr>
  </w:style>
  <w:style w:type="character" w:styleId="Marquedecommentaire">
    <w:name w:val="annotation reference"/>
    <w:basedOn w:val="Policepardfaut"/>
    <w:uiPriority w:val="99"/>
    <w:semiHidden/>
    <w:unhideWhenUsed/>
    <w:rsid w:val="00032DBE"/>
    <w:rPr>
      <w:sz w:val="18"/>
      <w:szCs w:val="18"/>
    </w:rPr>
  </w:style>
  <w:style w:type="paragraph" w:styleId="Commentaire">
    <w:name w:val="annotation text"/>
    <w:basedOn w:val="Normal"/>
    <w:link w:val="CommentaireCar"/>
    <w:uiPriority w:val="99"/>
    <w:semiHidden/>
    <w:unhideWhenUsed/>
    <w:rsid w:val="00032DBE"/>
  </w:style>
  <w:style w:type="character" w:customStyle="1" w:styleId="CommentaireCar">
    <w:name w:val="Commentaire Car"/>
    <w:basedOn w:val="Policepardfaut"/>
    <w:link w:val="Commentaire"/>
    <w:uiPriority w:val="99"/>
    <w:semiHidden/>
    <w:rsid w:val="00032DBE"/>
    <w:rPr>
      <w:lang w:val="en-GB"/>
    </w:rPr>
  </w:style>
  <w:style w:type="paragraph" w:styleId="Objetducommentaire">
    <w:name w:val="annotation subject"/>
    <w:basedOn w:val="Commentaire"/>
    <w:next w:val="Commentaire"/>
    <w:link w:val="ObjetducommentaireCar"/>
    <w:uiPriority w:val="99"/>
    <w:semiHidden/>
    <w:unhideWhenUsed/>
    <w:rsid w:val="00032DBE"/>
    <w:rPr>
      <w:b/>
      <w:bCs/>
      <w:sz w:val="20"/>
      <w:szCs w:val="20"/>
    </w:rPr>
  </w:style>
  <w:style w:type="character" w:customStyle="1" w:styleId="ObjetducommentaireCar">
    <w:name w:val="Objet du commentaire Car"/>
    <w:basedOn w:val="CommentaireCar"/>
    <w:link w:val="Objetducommentaire"/>
    <w:uiPriority w:val="99"/>
    <w:semiHidden/>
    <w:rsid w:val="00032DBE"/>
    <w:rPr>
      <w:b/>
      <w:bCs/>
      <w:sz w:val="20"/>
      <w:szCs w:val="20"/>
      <w:lang w:val="en-GB"/>
    </w:rPr>
  </w:style>
  <w:style w:type="character" w:styleId="Lienhypertexte">
    <w:name w:val="Hyperlink"/>
    <w:basedOn w:val="Policepardfaut"/>
    <w:uiPriority w:val="99"/>
    <w:unhideWhenUsed/>
    <w:rsid w:val="00032DBE"/>
    <w:rPr>
      <w:color w:val="0000FF" w:themeColor="hyperlink"/>
      <w:u w:val="single"/>
    </w:rPr>
  </w:style>
  <w:style w:type="paragraph" w:customStyle="1" w:styleId="MediumGrid1-Accent21">
    <w:name w:val="Medium Grid 1 - Accent 21"/>
    <w:basedOn w:val="Normal"/>
    <w:uiPriority w:val="34"/>
    <w:rsid w:val="00C84BA3"/>
    <w:pPr>
      <w:ind w:left="720"/>
      <w:contextualSpacing/>
    </w:pPr>
    <w:rPr>
      <w:rFonts w:ascii="Cambria" w:eastAsia="MS Mincho" w:hAnsi="Cambria" w:cs="Times New Roman"/>
      <w:lang w:val="en-AU"/>
    </w:rPr>
  </w:style>
  <w:style w:type="paragraph" w:styleId="Paragraphedeliste">
    <w:name w:val="List Paragraph"/>
    <w:basedOn w:val="Normal"/>
    <w:link w:val="ParagraphedelisteCar"/>
    <w:uiPriority w:val="34"/>
    <w:rsid w:val="00BE6706"/>
    <w:pPr>
      <w:ind w:left="284"/>
      <w:contextualSpacing/>
    </w:pPr>
    <w:rPr>
      <w:rFonts w:eastAsia="Times New Roman" w:cs="Times New Roman"/>
      <w:szCs w:val="20"/>
      <w:lang w:val="en-NZ"/>
    </w:rPr>
  </w:style>
  <w:style w:type="paragraph" w:styleId="Rvision">
    <w:name w:val="Revision"/>
    <w:hidden/>
    <w:uiPriority w:val="99"/>
    <w:semiHidden/>
    <w:rsid w:val="00EF3F56"/>
    <w:rPr>
      <w:lang w:val="en-GB"/>
    </w:rPr>
  </w:style>
  <w:style w:type="paragraph" w:styleId="Lgende">
    <w:name w:val="caption"/>
    <w:basedOn w:val="Normal"/>
    <w:next w:val="Normal"/>
    <w:uiPriority w:val="35"/>
    <w:unhideWhenUsed/>
    <w:qFormat/>
    <w:rsid w:val="006E0945"/>
    <w:rPr>
      <w:iCs/>
      <w:szCs w:val="18"/>
    </w:rPr>
  </w:style>
  <w:style w:type="character" w:customStyle="1" w:styleId="Titre1Car">
    <w:name w:val="Titre 1 Car"/>
    <w:basedOn w:val="Policepardfaut"/>
    <w:link w:val="Titre1"/>
    <w:uiPriority w:val="9"/>
    <w:rsid w:val="009927B7"/>
    <w:rPr>
      <w:rFonts w:ascii="Arial" w:eastAsiaTheme="majorEastAsia" w:hAnsi="Arial" w:cstheme="majorBidi"/>
      <w:b/>
      <w:sz w:val="20"/>
      <w:szCs w:val="32"/>
      <w:lang w:val="en-GB"/>
    </w:rPr>
  </w:style>
  <w:style w:type="paragraph" w:styleId="Titre">
    <w:name w:val="Title"/>
    <w:basedOn w:val="Normal"/>
    <w:next w:val="Normal"/>
    <w:link w:val="TitreCar"/>
    <w:uiPriority w:val="10"/>
    <w:qFormat/>
    <w:rsid w:val="00F8750C"/>
    <w:pPr>
      <w:spacing w:after="240"/>
      <w:contextualSpacing/>
    </w:pPr>
    <w:rPr>
      <w:rFonts w:eastAsiaTheme="majorEastAsia" w:cstheme="majorBidi"/>
      <w:b/>
      <w:sz w:val="24"/>
      <w:szCs w:val="56"/>
    </w:rPr>
  </w:style>
  <w:style w:type="character" w:customStyle="1" w:styleId="TitreCar">
    <w:name w:val="Titre Car"/>
    <w:basedOn w:val="Policepardfaut"/>
    <w:link w:val="Titre"/>
    <w:uiPriority w:val="10"/>
    <w:rsid w:val="00F8750C"/>
    <w:rPr>
      <w:rFonts w:ascii="Arial" w:eastAsiaTheme="majorEastAsia" w:hAnsi="Arial" w:cstheme="majorBidi"/>
      <w:b/>
      <w:szCs w:val="56"/>
      <w:lang w:val="en-GB"/>
    </w:rPr>
  </w:style>
  <w:style w:type="paragraph" w:customStyle="1" w:styleId="Subheading">
    <w:name w:val="Subheading"/>
    <w:basedOn w:val="Normal"/>
    <w:link w:val="SubheadingChar"/>
    <w:qFormat/>
    <w:rsid w:val="0013085A"/>
    <w:rPr>
      <w:i/>
    </w:rPr>
  </w:style>
  <w:style w:type="character" w:customStyle="1" w:styleId="SubheadingChar">
    <w:name w:val="Subheading Char"/>
    <w:basedOn w:val="Policepardfaut"/>
    <w:link w:val="Subheading"/>
    <w:rsid w:val="0013085A"/>
    <w:rPr>
      <w:rFonts w:ascii="Arial" w:hAnsi="Arial"/>
      <w:i/>
      <w:sz w:val="18"/>
      <w:lang w:val="en-GB"/>
    </w:rPr>
  </w:style>
  <w:style w:type="paragraph" w:customStyle="1" w:styleId="Heading">
    <w:name w:val="Heading"/>
    <w:basedOn w:val="Normal"/>
    <w:link w:val="HeadingChar"/>
    <w:qFormat/>
    <w:rsid w:val="00BE6706"/>
    <w:rPr>
      <w:b/>
    </w:rPr>
  </w:style>
  <w:style w:type="character" w:customStyle="1" w:styleId="HeadingChar">
    <w:name w:val="Heading Char"/>
    <w:basedOn w:val="Policepardfaut"/>
    <w:link w:val="Heading"/>
    <w:rsid w:val="00BE6706"/>
    <w:rPr>
      <w:rFonts w:ascii="Arial" w:hAnsi="Arial"/>
      <w:b/>
      <w:sz w:val="18"/>
      <w:lang w:val="en-GB"/>
    </w:rPr>
  </w:style>
  <w:style w:type="paragraph" w:customStyle="1" w:styleId="Referencelist">
    <w:name w:val="Reference_list"/>
    <w:basedOn w:val="Normal"/>
    <w:link w:val="ReferencelistChar"/>
    <w:rsid w:val="00277C50"/>
    <w:pPr>
      <w:numPr>
        <w:numId w:val="15"/>
      </w:numPr>
    </w:pPr>
  </w:style>
  <w:style w:type="character" w:customStyle="1" w:styleId="ParagraphedelisteCar">
    <w:name w:val="Paragraphe de liste Car"/>
    <w:basedOn w:val="Policepardfaut"/>
    <w:link w:val="Paragraphedeliste"/>
    <w:uiPriority w:val="34"/>
    <w:rsid w:val="00E0608C"/>
    <w:rPr>
      <w:rFonts w:ascii="Arial" w:eastAsia="Times New Roman" w:hAnsi="Arial" w:cs="Times New Roman"/>
      <w:sz w:val="18"/>
      <w:szCs w:val="20"/>
    </w:rPr>
  </w:style>
  <w:style w:type="character" w:customStyle="1" w:styleId="ReferencelistChar">
    <w:name w:val="Reference_list Char"/>
    <w:basedOn w:val="ParagraphedelisteCar"/>
    <w:link w:val="Referencelist"/>
    <w:rsid w:val="00277C50"/>
    <w:rPr>
      <w:rFonts w:ascii="Arial" w:eastAsia="Times New Roman" w:hAnsi="Arial" w:cs="Times New Roman"/>
      <w:sz w:val="18"/>
      <w:szCs w:val="20"/>
      <w:lang w:val="en-GB"/>
    </w:rPr>
  </w:style>
  <w:style w:type="character" w:styleId="Mentionnonrsolue">
    <w:name w:val="Unresolved Mention"/>
    <w:basedOn w:val="Policepardfaut"/>
    <w:uiPriority w:val="99"/>
    <w:semiHidden/>
    <w:unhideWhenUsed/>
    <w:rsid w:val="00F56F11"/>
    <w:rPr>
      <w:color w:val="605E5C"/>
      <w:shd w:val="clear" w:color="auto" w:fill="E1DFDD"/>
    </w:rPr>
  </w:style>
  <w:style w:type="character" w:styleId="Lienhypertextesuivivisit">
    <w:name w:val="FollowedHyperlink"/>
    <w:basedOn w:val="Policepardfaut"/>
    <w:uiPriority w:val="99"/>
    <w:semiHidden/>
    <w:unhideWhenUsed/>
    <w:rsid w:val="00EF4F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542121">
      <w:bodyDiv w:val="1"/>
      <w:marLeft w:val="0"/>
      <w:marRight w:val="0"/>
      <w:marTop w:val="0"/>
      <w:marBottom w:val="0"/>
      <w:divBdr>
        <w:top w:val="none" w:sz="0" w:space="0" w:color="auto"/>
        <w:left w:val="none" w:sz="0" w:space="0" w:color="auto"/>
        <w:bottom w:val="none" w:sz="0" w:space="0" w:color="auto"/>
        <w:right w:val="none" w:sz="0" w:space="0" w:color="auto"/>
      </w:divBdr>
      <w:divsChild>
        <w:div w:id="1280532666">
          <w:marLeft w:val="0"/>
          <w:marRight w:val="0"/>
          <w:marTop w:val="0"/>
          <w:marBottom w:val="0"/>
          <w:divBdr>
            <w:top w:val="none" w:sz="0" w:space="0" w:color="auto"/>
            <w:left w:val="none" w:sz="0" w:space="0" w:color="auto"/>
            <w:bottom w:val="none" w:sz="0" w:space="0" w:color="auto"/>
            <w:right w:val="none" w:sz="0" w:space="0" w:color="auto"/>
          </w:divBdr>
          <w:divsChild>
            <w:div w:id="1150823809">
              <w:marLeft w:val="0"/>
              <w:marRight w:val="0"/>
              <w:marTop w:val="0"/>
              <w:marBottom w:val="0"/>
              <w:divBdr>
                <w:top w:val="none" w:sz="0" w:space="0" w:color="auto"/>
                <w:left w:val="none" w:sz="0" w:space="0" w:color="auto"/>
                <w:bottom w:val="none" w:sz="0" w:space="0" w:color="auto"/>
                <w:right w:val="none" w:sz="0" w:space="0" w:color="auto"/>
              </w:divBdr>
              <w:divsChild>
                <w:div w:id="937835219">
                  <w:marLeft w:val="0"/>
                  <w:marRight w:val="0"/>
                  <w:marTop w:val="0"/>
                  <w:marBottom w:val="0"/>
                  <w:divBdr>
                    <w:top w:val="none" w:sz="0" w:space="0" w:color="auto"/>
                    <w:left w:val="none" w:sz="0" w:space="0" w:color="auto"/>
                    <w:bottom w:val="none" w:sz="0" w:space="0" w:color="auto"/>
                    <w:right w:val="none" w:sz="0" w:space="0" w:color="auto"/>
                  </w:divBdr>
                </w:div>
              </w:divsChild>
            </w:div>
            <w:div w:id="2142066352">
              <w:marLeft w:val="0"/>
              <w:marRight w:val="0"/>
              <w:marTop w:val="0"/>
              <w:marBottom w:val="0"/>
              <w:divBdr>
                <w:top w:val="none" w:sz="0" w:space="0" w:color="auto"/>
                <w:left w:val="none" w:sz="0" w:space="0" w:color="auto"/>
                <w:bottom w:val="none" w:sz="0" w:space="0" w:color="auto"/>
                <w:right w:val="none" w:sz="0" w:space="0" w:color="auto"/>
              </w:divBdr>
              <w:divsChild>
                <w:div w:id="1306276881">
                  <w:marLeft w:val="0"/>
                  <w:marRight w:val="0"/>
                  <w:marTop w:val="0"/>
                  <w:marBottom w:val="0"/>
                  <w:divBdr>
                    <w:top w:val="none" w:sz="0" w:space="0" w:color="auto"/>
                    <w:left w:val="none" w:sz="0" w:space="0" w:color="auto"/>
                    <w:bottom w:val="none" w:sz="0" w:space="0" w:color="auto"/>
                    <w:right w:val="none" w:sz="0" w:space="0" w:color="auto"/>
                  </w:divBdr>
                </w:div>
              </w:divsChild>
            </w:div>
            <w:div w:id="746615564">
              <w:marLeft w:val="0"/>
              <w:marRight w:val="0"/>
              <w:marTop w:val="0"/>
              <w:marBottom w:val="0"/>
              <w:divBdr>
                <w:top w:val="none" w:sz="0" w:space="0" w:color="auto"/>
                <w:left w:val="none" w:sz="0" w:space="0" w:color="auto"/>
                <w:bottom w:val="none" w:sz="0" w:space="0" w:color="auto"/>
                <w:right w:val="none" w:sz="0" w:space="0" w:color="auto"/>
              </w:divBdr>
              <w:divsChild>
                <w:div w:id="1059597967">
                  <w:marLeft w:val="0"/>
                  <w:marRight w:val="0"/>
                  <w:marTop w:val="0"/>
                  <w:marBottom w:val="0"/>
                  <w:divBdr>
                    <w:top w:val="none" w:sz="0" w:space="0" w:color="auto"/>
                    <w:left w:val="none" w:sz="0" w:space="0" w:color="auto"/>
                    <w:bottom w:val="none" w:sz="0" w:space="0" w:color="auto"/>
                    <w:right w:val="none" w:sz="0" w:space="0" w:color="auto"/>
                  </w:divBdr>
                </w:div>
              </w:divsChild>
            </w:div>
            <w:div w:id="466049892">
              <w:marLeft w:val="0"/>
              <w:marRight w:val="0"/>
              <w:marTop w:val="0"/>
              <w:marBottom w:val="0"/>
              <w:divBdr>
                <w:top w:val="none" w:sz="0" w:space="0" w:color="auto"/>
                <w:left w:val="none" w:sz="0" w:space="0" w:color="auto"/>
                <w:bottom w:val="none" w:sz="0" w:space="0" w:color="auto"/>
                <w:right w:val="none" w:sz="0" w:space="0" w:color="auto"/>
              </w:divBdr>
              <w:divsChild>
                <w:div w:id="862129894">
                  <w:marLeft w:val="0"/>
                  <w:marRight w:val="0"/>
                  <w:marTop w:val="0"/>
                  <w:marBottom w:val="0"/>
                  <w:divBdr>
                    <w:top w:val="none" w:sz="0" w:space="0" w:color="auto"/>
                    <w:left w:val="none" w:sz="0" w:space="0" w:color="auto"/>
                    <w:bottom w:val="none" w:sz="0" w:space="0" w:color="auto"/>
                    <w:right w:val="none" w:sz="0" w:space="0" w:color="auto"/>
                  </w:divBdr>
                </w:div>
              </w:divsChild>
            </w:div>
            <w:div w:id="1368602199">
              <w:marLeft w:val="0"/>
              <w:marRight w:val="0"/>
              <w:marTop w:val="0"/>
              <w:marBottom w:val="0"/>
              <w:divBdr>
                <w:top w:val="none" w:sz="0" w:space="0" w:color="auto"/>
                <w:left w:val="none" w:sz="0" w:space="0" w:color="auto"/>
                <w:bottom w:val="none" w:sz="0" w:space="0" w:color="auto"/>
                <w:right w:val="none" w:sz="0" w:space="0" w:color="auto"/>
              </w:divBdr>
              <w:divsChild>
                <w:div w:id="971862473">
                  <w:marLeft w:val="0"/>
                  <w:marRight w:val="0"/>
                  <w:marTop w:val="0"/>
                  <w:marBottom w:val="0"/>
                  <w:divBdr>
                    <w:top w:val="none" w:sz="0" w:space="0" w:color="auto"/>
                    <w:left w:val="none" w:sz="0" w:space="0" w:color="auto"/>
                    <w:bottom w:val="none" w:sz="0" w:space="0" w:color="auto"/>
                    <w:right w:val="none" w:sz="0" w:space="0" w:color="auto"/>
                  </w:divBdr>
                </w:div>
              </w:divsChild>
            </w:div>
            <w:div w:id="590504907">
              <w:marLeft w:val="0"/>
              <w:marRight w:val="0"/>
              <w:marTop w:val="0"/>
              <w:marBottom w:val="0"/>
              <w:divBdr>
                <w:top w:val="none" w:sz="0" w:space="0" w:color="auto"/>
                <w:left w:val="none" w:sz="0" w:space="0" w:color="auto"/>
                <w:bottom w:val="none" w:sz="0" w:space="0" w:color="auto"/>
                <w:right w:val="none" w:sz="0" w:space="0" w:color="auto"/>
              </w:divBdr>
              <w:divsChild>
                <w:div w:id="1303272041">
                  <w:marLeft w:val="0"/>
                  <w:marRight w:val="0"/>
                  <w:marTop w:val="0"/>
                  <w:marBottom w:val="0"/>
                  <w:divBdr>
                    <w:top w:val="none" w:sz="0" w:space="0" w:color="auto"/>
                    <w:left w:val="none" w:sz="0" w:space="0" w:color="auto"/>
                    <w:bottom w:val="none" w:sz="0" w:space="0" w:color="auto"/>
                    <w:right w:val="none" w:sz="0" w:space="0" w:color="auto"/>
                  </w:divBdr>
                </w:div>
              </w:divsChild>
            </w:div>
            <w:div w:id="717895728">
              <w:marLeft w:val="0"/>
              <w:marRight w:val="0"/>
              <w:marTop w:val="0"/>
              <w:marBottom w:val="0"/>
              <w:divBdr>
                <w:top w:val="none" w:sz="0" w:space="0" w:color="auto"/>
                <w:left w:val="none" w:sz="0" w:space="0" w:color="auto"/>
                <w:bottom w:val="none" w:sz="0" w:space="0" w:color="auto"/>
                <w:right w:val="none" w:sz="0" w:space="0" w:color="auto"/>
              </w:divBdr>
              <w:divsChild>
                <w:div w:id="208996791">
                  <w:marLeft w:val="0"/>
                  <w:marRight w:val="0"/>
                  <w:marTop w:val="0"/>
                  <w:marBottom w:val="0"/>
                  <w:divBdr>
                    <w:top w:val="none" w:sz="0" w:space="0" w:color="auto"/>
                    <w:left w:val="none" w:sz="0" w:space="0" w:color="auto"/>
                    <w:bottom w:val="none" w:sz="0" w:space="0" w:color="auto"/>
                    <w:right w:val="none" w:sz="0" w:space="0" w:color="auto"/>
                  </w:divBdr>
                </w:div>
              </w:divsChild>
            </w:div>
            <w:div w:id="1813061069">
              <w:marLeft w:val="0"/>
              <w:marRight w:val="0"/>
              <w:marTop w:val="0"/>
              <w:marBottom w:val="0"/>
              <w:divBdr>
                <w:top w:val="none" w:sz="0" w:space="0" w:color="auto"/>
                <w:left w:val="none" w:sz="0" w:space="0" w:color="auto"/>
                <w:bottom w:val="none" w:sz="0" w:space="0" w:color="auto"/>
                <w:right w:val="none" w:sz="0" w:space="0" w:color="auto"/>
              </w:divBdr>
              <w:divsChild>
                <w:div w:id="712966887">
                  <w:marLeft w:val="0"/>
                  <w:marRight w:val="0"/>
                  <w:marTop w:val="0"/>
                  <w:marBottom w:val="0"/>
                  <w:divBdr>
                    <w:top w:val="none" w:sz="0" w:space="0" w:color="auto"/>
                    <w:left w:val="none" w:sz="0" w:space="0" w:color="auto"/>
                    <w:bottom w:val="none" w:sz="0" w:space="0" w:color="auto"/>
                    <w:right w:val="none" w:sz="0" w:space="0" w:color="auto"/>
                  </w:divBdr>
                </w:div>
              </w:divsChild>
            </w:div>
            <w:div w:id="502162478">
              <w:marLeft w:val="0"/>
              <w:marRight w:val="0"/>
              <w:marTop w:val="0"/>
              <w:marBottom w:val="0"/>
              <w:divBdr>
                <w:top w:val="none" w:sz="0" w:space="0" w:color="auto"/>
                <w:left w:val="none" w:sz="0" w:space="0" w:color="auto"/>
                <w:bottom w:val="none" w:sz="0" w:space="0" w:color="auto"/>
                <w:right w:val="none" w:sz="0" w:space="0" w:color="auto"/>
              </w:divBdr>
              <w:divsChild>
                <w:div w:id="1350372016">
                  <w:marLeft w:val="0"/>
                  <w:marRight w:val="0"/>
                  <w:marTop w:val="0"/>
                  <w:marBottom w:val="0"/>
                  <w:divBdr>
                    <w:top w:val="none" w:sz="0" w:space="0" w:color="auto"/>
                    <w:left w:val="none" w:sz="0" w:space="0" w:color="auto"/>
                    <w:bottom w:val="none" w:sz="0" w:space="0" w:color="auto"/>
                    <w:right w:val="none" w:sz="0" w:space="0" w:color="auto"/>
                  </w:divBdr>
                </w:div>
              </w:divsChild>
            </w:div>
            <w:div w:id="1152789322">
              <w:marLeft w:val="0"/>
              <w:marRight w:val="0"/>
              <w:marTop w:val="0"/>
              <w:marBottom w:val="0"/>
              <w:divBdr>
                <w:top w:val="none" w:sz="0" w:space="0" w:color="auto"/>
                <w:left w:val="none" w:sz="0" w:space="0" w:color="auto"/>
                <w:bottom w:val="none" w:sz="0" w:space="0" w:color="auto"/>
                <w:right w:val="none" w:sz="0" w:space="0" w:color="auto"/>
              </w:divBdr>
              <w:divsChild>
                <w:div w:id="1838417772">
                  <w:marLeft w:val="0"/>
                  <w:marRight w:val="0"/>
                  <w:marTop w:val="0"/>
                  <w:marBottom w:val="0"/>
                  <w:divBdr>
                    <w:top w:val="none" w:sz="0" w:space="0" w:color="auto"/>
                    <w:left w:val="none" w:sz="0" w:space="0" w:color="auto"/>
                    <w:bottom w:val="none" w:sz="0" w:space="0" w:color="auto"/>
                    <w:right w:val="none" w:sz="0" w:space="0" w:color="auto"/>
                  </w:divBdr>
                </w:div>
              </w:divsChild>
            </w:div>
            <w:div w:id="1738286178">
              <w:marLeft w:val="0"/>
              <w:marRight w:val="0"/>
              <w:marTop w:val="0"/>
              <w:marBottom w:val="0"/>
              <w:divBdr>
                <w:top w:val="none" w:sz="0" w:space="0" w:color="auto"/>
                <w:left w:val="none" w:sz="0" w:space="0" w:color="auto"/>
                <w:bottom w:val="none" w:sz="0" w:space="0" w:color="auto"/>
                <w:right w:val="none" w:sz="0" w:space="0" w:color="auto"/>
              </w:divBdr>
              <w:divsChild>
                <w:div w:id="1046180998">
                  <w:marLeft w:val="0"/>
                  <w:marRight w:val="0"/>
                  <w:marTop w:val="0"/>
                  <w:marBottom w:val="0"/>
                  <w:divBdr>
                    <w:top w:val="none" w:sz="0" w:space="0" w:color="auto"/>
                    <w:left w:val="none" w:sz="0" w:space="0" w:color="auto"/>
                    <w:bottom w:val="none" w:sz="0" w:space="0" w:color="auto"/>
                    <w:right w:val="none" w:sz="0" w:space="0" w:color="auto"/>
                  </w:divBdr>
                </w:div>
              </w:divsChild>
            </w:div>
            <w:div w:id="613247791">
              <w:marLeft w:val="0"/>
              <w:marRight w:val="0"/>
              <w:marTop w:val="0"/>
              <w:marBottom w:val="0"/>
              <w:divBdr>
                <w:top w:val="none" w:sz="0" w:space="0" w:color="auto"/>
                <w:left w:val="none" w:sz="0" w:space="0" w:color="auto"/>
                <w:bottom w:val="none" w:sz="0" w:space="0" w:color="auto"/>
                <w:right w:val="none" w:sz="0" w:space="0" w:color="auto"/>
              </w:divBdr>
              <w:divsChild>
                <w:div w:id="1748107705">
                  <w:marLeft w:val="0"/>
                  <w:marRight w:val="0"/>
                  <w:marTop w:val="0"/>
                  <w:marBottom w:val="0"/>
                  <w:divBdr>
                    <w:top w:val="none" w:sz="0" w:space="0" w:color="auto"/>
                    <w:left w:val="none" w:sz="0" w:space="0" w:color="auto"/>
                    <w:bottom w:val="none" w:sz="0" w:space="0" w:color="auto"/>
                    <w:right w:val="none" w:sz="0" w:space="0" w:color="auto"/>
                  </w:divBdr>
                </w:div>
              </w:divsChild>
            </w:div>
            <w:div w:id="376979706">
              <w:marLeft w:val="0"/>
              <w:marRight w:val="0"/>
              <w:marTop w:val="0"/>
              <w:marBottom w:val="0"/>
              <w:divBdr>
                <w:top w:val="none" w:sz="0" w:space="0" w:color="auto"/>
                <w:left w:val="none" w:sz="0" w:space="0" w:color="auto"/>
                <w:bottom w:val="none" w:sz="0" w:space="0" w:color="auto"/>
                <w:right w:val="none" w:sz="0" w:space="0" w:color="auto"/>
              </w:divBdr>
              <w:divsChild>
                <w:div w:id="47340961">
                  <w:marLeft w:val="0"/>
                  <w:marRight w:val="0"/>
                  <w:marTop w:val="0"/>
                  <w:marBottom w:val="0"/>
                  <w:divBdr>
                    <w:top w:val="none" w:sz="0" w:space="0" w:color="auto"/>
                    <w:left w:val="none" w:sz="0" w:space="0" w:color="auto"/>
                    <w:bottom w:val="none" w:sz="0" w:space="0" w:color="auto"/>
                    <w:right w:val="none" w:sz="0" w:space="0" w:color="auto"/>
                  </w:divBdr>
                </w:div>
              </w:divsChild>
            </w:div>
            <w:div w:id="1495024757">
              <w:marLeft w:val="0"/>
              <w:marRight w:val="0"/>
              <w:marTop w:val="0"/>
              <w:marBottom w:val="0"/>
              <w:divBdr>
                <w:top w:val="none" w:sz="0" w:space="0" w:color="auto"/>
                <w:left w:val="none" w:sz="0" w:space="0" w:color="auto"/>
                <w:bottom w:val="none" w:sz="0" w:space="0" w:color="auto"/>
                <w:right w:val="none" w:sz="0" w:space="0" w:color="auto"/>
              </w:divBdr>
              <w:divsChild>
                <w:div w:id="1222131992">
                  <w:marLeft w:val="0"/>
                  <w:marRight w:val="0"/>
                  <w:marTop w:val="0"/>
                  <w:marBottom w:val="0"/>
                  <w:divBdr>
                    <w:top w:val="none" w:sz="0" w:space="0" w:color="auto"/>
                    <w:left w:val="none" w:sz="0" w:space="0" w:color="auto"/>
                    <w:bottom w:val="none" w:sz="0" w:space="0" w:color="auto"/>
                    <w:right w:val="none" w:sz="0" w:space="0" w:color="auto"/>
                  </w:divBdr>
                </w:div>
              </w:divsChild>
            </w:div>
            <w:div w:id="71436850">
              <w:marLeft w:val="0"/>
              <w:marRight w:val="0"/>
              <w:marTop w:val="0"/>
              <w:marBottom w:val="0"/>
              <w:divBdr>
                <w:top w:val="none" w:sz="0" w:space="0" w:color="auto"/>
                <w:left w:val="none" w:sz="0" w:space="0" w:color="auto"/>
                <w:bottom w:val="none" w:sz="0" w:space="0" w:color="auto"/>
                <w:right w:val="none" w:sz="0" w:space="0" w:color="auto"/>
              </w:divBdr>
              <w:divsChild>
                <w:div w:id="15156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3561">
          <w:marLeft w:val="0"/>
          <w:marRight w:val="0"/>
          <w:marTop w:val="0"/>
          <w:marBottom w:val="0"/>
          <w:divBdr>
            <w:top w:val="none" w:sz="0" w:space="0" w:color="auto"/>
            <w:left w:val="none" w:sz="0" w:space="0" w:color="auto"/>
            <w:bottom w:val="none" w:sz="0" w:space="0" w:color="auto"/>
            <w:right w:val="none" w:sz="0" w:space="0" w:color="auto"/>
          </w:divBdr>
          <w:divsChild>
            <w:div w:id="1984430340">
              <w:marLeft w:val="0"/>
              <w:marRight w:val="0"/>
              <w:marTop w:val="0"/>
              <w:marBottom w:val="0"/>
              <w:divBdr>
                <w:top w:val="none" w:sz="0" w:space="0" w:color="auto"/>
                <w:left w:val="none" w:sz="0" w:space="0" w:color="auto"/>
                <w:bottom w:val="none" w:sz="0" w:space="0" w:color="auto"/>
                <w:right w:val="none" w:sz="0" w:space="0" w:color="auto"/>
              </w:divBdr>
            </w:div>
          </w:divsChild>
        </w:div>
        <w:div w:id="1612930219">
          <w:marLeft w:val="0"/>
          <w:marRight w:val="0"/>
          <w:marTop w:val="0"/>
          <w:marBottom w:val="0"/>
          <w:divBdr>
            <w:top w:val="none" w:sz="0" w:space="0" w:color="auto"/>
            <w:left w:val="none" w:sz="0" w:space="0" w:color="auto"/>
            <w:bottom w:val="none" w:sz="0" w:space="0" w:color="auto"/>
            <w:right w:val="none" w:sz="0" w:space="0" w:color="auto"/>
          </w:divBdr>
          <w:divsChild>
            <w:div w:id="188878097">
              <w:marLeft w:val="0"/>
              <w:marRight w:val="0"/>
              <w:marTop w:val="0"/>
              <w:marBottom w:val="0"/>
              <w:divBdr>
                <w:top w:val="none" w:sz="0" w:space="0" w:color="auto"/>
                <w:left w:val="none" w:sz="0" w:space="0" w:color="auto"/>
                <w:bottom w:val="none" w:sz="0" w:space="0" w:color="auto"/>
                <w:right w:val="none" w:sz="0" w:space="0" w:color="auto"/>
              </w:divBdr>
            </w:div>
          </w:divsChild>
        </w:div>
        <w:div w:id="1371110662">
          <w:marLeft w:val="0"/>
          <w:marRight w:val="0"/>
          <w:marTop w:val="0"/>
          <w:marBottom w:val="0"/>
          <w:divBdr>
            <w:top w:val="none" w:sz="0" w:space="0" w:color="auto"/>
            <w:left w:val="none" w:sz="0" w:space="0" w:color="auto"/>
            <w:bottom w:val="none" w:sz="0" w:space="0" w:color="auto"/>
            <w:right w:val="none" w:sz="0" w:space="0" w:color="auto"/>
          </w:divBdr>
          <w:divsChild>
            <w:div w:id="811942662">
              <w:marLeft w:val="0"/>
              <w:marRight w:val="0"/>
              <w:marTop w:val="0"/>
              <w:marBottom w:val="0"/>
              <w:divBdr>
                <w:top w:val="none" w:sz="0" w:space="0" w:color="auto"/>
                <w:left w:val="none" w:sz="0" w:space="0" w:color="auto"/>
                <w:bottom w:val="none" w:sz="0" w:space="0" w:color="auto"/>
                <w:right w:val="none" w:sz="0" w:space="0" w:color="auto"/>
              </w:divBdr>
            </w:div>
          </w:divsChild>
        </w:div>
        <w:div w:id="1676683068">
          <w:marLeft w:val="0"/>
          <w:marRight w:val="0"/>
          <w:marTop w:val="0"/>
          <w:marBottom w:val="0"/>
          <w:divBdr>
            <w:top w:val="none" w:sz="0" w:space="0" w:color="auto"/>
            <w:left w:val="none" w:sz="0" w:space="0" w:color="auto"/>
            <w:bottom w:val="none" w:sz="0" w:space="0" w:color="auto"/>
            <w:right w:val="none" w:sz="0" w:space="0" w:color="auto"/>
          </w:divBdr>
          <w:divsChild>
            <w:div w:id="2060282159">
              <w:marLeft w:val="0"/>
              <w:marRight w:val="0"/>
              <w:marTop w:val="0"/>
              <w:marBottom w:val="0"/>
              <w:divBdr>
                <w:top w:val="none" w:sz="0" w:space="0" w:color="auto"/>
                <w:left w:val="none" w:sz="0" w:space="0" w:color="auto"/>
                <w:bottom w:val="none" w:sz="0" w:space="0" w:color="auto"/>
                <w:right w:val="none" w:sz="0" w:space="0" w:color="auto"/>
              </w:divBdr>
            </w:div>
          </w:divsChild>
        </w:div>
        <w:div w:id="1702777841">
          <w:marLeft w:val="0"/>
          <w:marRight w:val="0"/>
          <w:marTop w:val="0"/>
          <w:marBottom w:val="0"/>
          <w:divBdr>
            <w:top w:val="none" w:sz="0" w:space="0" w:color="auto"/>
            <w:left w:val="none" w:sz="0" w:space="0" w:color="auto"/>
            <w:bottom w:val="none" w:sz="0" w:space="0" w:color="auto"/>
            <w:right w:val="none" w:sz="0" w:space="0" w:color="auto"/>
          </w:divBdr>
          <w:divsChild>
            <w:div w:id="810753939">
              <w:marLeft w:val="0"/>
              <w:marRight w:val="0"/>
              <w:marTop w:val="0"/>
              <w:marBottom w:val="0"/>
              <w:divBdr>
                <w:top w:val="none" w:sz="0" w:space="0" w:color="auto"/>
                <w:left w:val="none" w:sz="0" w:space="0" w:color="auto"/>
                <w:bottom w:val="none" w:sz="0" w:space="0" w:color="auto"/>
                <w:right w:val="none" w:sz="0" w:space="0" w:color="auto"/>
              </w:divBdr>
            </w:div>
          </w:divsChild>
        </w:div>
        <w:div w:id="298458139">
          <w:marLeft w:val="0"/>
          <w:marRight w:val="0"/>
          <w:marTop w:val="0"/>
          <w:marBottom w:val="0"/>
          <w:divBdr>
            <w:top w:val="none" w:sz="0" w:space="0" w:color="auto"/>
            <w:left w:val="none" w:sz="0" w:space="0" w:color="auto"/>
            <w:bottom w:val="none" w:sz="0" w:space="0" w:color="auto"/>
            <w:right w:val="none" w:sz="0" w:space="0" w:color="auto"/>
          </w:divBdr>
          <w:divsChild>
            <w:div w:id="1531800180">
              <w:marLeft w:val="0"/>
              <w:marRight w:val="0"/>
              <w:marTop w:val="0"/>
              <w:marBottom w:val="0"/>
              <w:divBdr>
                <w:top w:val="none" w:sz="0" w:space="0" w:color="auto"/>
                <w:left w:val="none" w:sz="0" w:space="0" w:color="auto"/>
                <w:bottom w:val="none" w:sz="0" w:space="0" w:color="auto"/>
                <w:right w:val="none" w:sz="0" w:space="0" w:color="auto"/>
              </w:divBdr>
            </w:div>
          </w:divsChild>
        </w:div>
        <w:div w:id="1196961278">
          <w:marLeft w:val="0"/>
          <w:marRight w:val="0"/>
          <w:marTop w:val="0"/>
          <w:marBottom w:val="0"/>
          <w:divBdr>
            <w:top w:val="none" w:sz="0" w:space="0" w:color="auto"/>
            <w:left w:val="none" w:sz="0" w:space="0" w:color="auto"/>
            <w:bottom w:val="none" w:sz="0" w:space="0" w:color="auto"/>
            <w:right w:val="none" w:sz="0" w:space="0" w:color="auto"/>
          </w:divBdr>
          <w:divsChild>
            <w:div w:id="900478024">
              <w:marLeft w:val="0"/>
              <w:marRight w:val="0"/>
              <w:marTop w:val="0"/>
              <w:marBottom w:val="0"/>
              <w:divBdr>
                <w:top w:val="none" w:sz="0" w:space="0" w:color="auto"/>
                <w:left w:val="none" w:sz="0" w:space="0" w:color="auto"/>
                <w:bottom w:val="none" w:sz="0" w:space="0" w:color="auto"/>
                <w:right w:val="none" w:sz="0" w:space="0" w:color="auto"/>
              </w:divBdr>
            </w:div>
          </w:divsChild>
        </w:div>
        <w:div w:id="775826945">
          <w:marLeft w:val="0"/>
          <w:marRight w:val="0"/>
          <w:marTop w:val="0"/>
          <w:marBottom w:val="0"/>
          <w:divBdr>
            <w:top w:val="none" w:sz="0" w:space="0" w:color="auto"/>
            <w:left w:val="none" w:sz="0" w:space="0" w:color="auto"/>
            <w:bottom w:val="none" w:sz="0" w:space="0" w:color="auto"/>
            <w:right w:val="none" w:sz="0" w:space="0" w:color="auto"/>
          </w:divBdr>
          <w:divsChild>
            <w:div w:id="126632909">
              <w:marLeft w:val="0"/>
              <w:marRight w:val="0"/>
              <w:marTop w:val="0"/>
              <w:marBottom w:val="0"/>
              <w:divBdr>
                <w:top w:val="none" w:sz="0" w:space="0" w:color="auto"/>
                <w:left w:val="none" w:sz="0" w:space="0" w:color="auto"/>
                <w:bottom w:val="none" w:sz="0" w:space="0" w:color="auto"/>
                <w:right w:val="none" w:sz="0" w:space="0" w:color="auto"/>
              </w:divBdr>
            </w:div>
          </w:divsChild>
        </w:div>
        <w:div w:id="1105226047">
          <w:marLeft w:val="0"/>
          <w:marRight w:val="0"/>
          <w:marTop w:val="0"/>
          <w:marBottom w:val="0"/>
          <w:divBdr>
            <w:top w:val="none" w:sz="0" w:space="0" w:color="auto"/>
            <w:left w:val="none" w:sz="0" w:space="0" w:color="auto"/>
            <w:bottom w:val="none" w:sz="0" w:space="0" w:color="auto"/>
            <w:right w:val="none" w:sz="0" w:space="0" w:color="auto"/>
          </w:divBdr>
          <w:divsChild>
            <w:div w:id="1608384881">
              <w:marLeft w:val="0"/>
              <w:marRight w:val="0"/>
              <w:marTop w:val="0"/>
              <w:marBottom w:val="0"/>
              <w:divBdr>
                <w:top w:val="none" w:sz="0" w:space="0" w:color="auto"/>
                <w:left w:val="none" w:sz="0" w:space="0" w:color="auto"/>
                <w:bottom w:val="none" w:sz="0" w:space="0" w:color="auto"/>
                <w:right w:val="none" w:sz="0" w:space="0" w:color="auto"/>
              </w:divBdr>
            </w:div>
          </w:divsChild>
        </w:div>
        <w:div w:id="447243580">
          <w:marLeft w:val="0"/>
          <w:marRight w:val="0"/>
          <w:marTop w:val="0"/>
          <w:marBottom w:val="0"/>
          <w:divBdr>
            <w:top w:val="none" w:sz="0" w:space="0" w:color="auto"/>
            <w:left w:val="none" w:sz="0" w:space="0" w:color="auto"/>
            <w:bottom w:val="none" w:sz="0" w:space="0" w:color="auto"/>
            <w:right w:val="none" w:sz="0" w:space="0" w:color="auto"/>
          </w:divBdr>
          <w:divsChild>
            <w:div w:id="928200598">
              <w:marLeft w:val="0"/>
              <w:marRight w:val="0"/>
              <w:marTop w:val="0"/>
              <w:marBottom w:val="0"/>
              <w:divBdr>
                <w:top w:val="none" w:sz="0" w:space="0" w:color="auto"/>
                <w:left w:val="none" w:sz="0" w:space="0" w:color="auto"/>
                <w:bottom w:val="none" w:sz="0" w:space="0" w:color="auto"/>
                <w:right w:val="none" w:sz="0" w:space="0" w:color="auto"/>
              </w:divBdr>
            </w:div>
          </w:divsChild>
        </w:div>
        <w:div w:id="1909993572">
          <w:marLeft w:val="0"/>
          <w:marRight w:val="0"/>
          <w:marTop w:val="0"/>
          <w:marBottom w:val="0"/>
          <w:divBdr>
            <w:top w:val="none" w:sz="0" w:space="0" w:color="auto"/>
            <w:left w:val="none" w:sz="0" w:space="0" w:color="auto"/>
            <w:bottom w:val="none" w:sz="0" w:space="0" w:color="auto"/>
            <w:right w:val="none" w:sz="0" w:space="0" w:color="auto"/>
          </w:divBdr>
          <w:divsChild>
            <w:div w:id="1685859858">
              <w:marLeft w:val="0"/>
              <w:marRight w:val="0"/>
              <w:marTop w:val="0"/>
              <w:marBottom w:val="0"/>
              <w:divBdr>
                <w:top w:val="none" w:sz="0" w:space="0" w:color="auto"/>
                <w:left w:val="none" w:sz="0" w:space="0" w:color="auto"/>
                <w:bottom w:val="none" w:sz="0" w:space="0" w:color="auto"/>
                <w:right w:val="none" w:sz="0" w:space="0" w:color="auto"/>
              </w:divBdr>
            </w:div>
          </w:divsChild>
        </w:div>
        <w:div w:id="199051176">
          <w:marLeft w:val="0"/>
          <w:marRight w:val="0"/>
          <w:marTop w:val="0"/>
          <w:marBottom w:val="0"/>
          <w:divBdr>
            <w:top w:val="none" w:sz="0" w:space="0" w:color="auto"/>
            <w:left w:val="none" w:sz="0" w:space="0" w:color="auto"/>
            <w:bottom w:val="none" w:sz="0" w:space="0" w:color="auto"/>
            <w:right w:val="none" w:sz="0" w:space="0" w:color="auto"/>
          </w:divBdr>
          <w:divsChild>
            <w:div w:id="156463132">
              <w:marLeft w:val="0"/>
              <w:marRight w:val="0"/>
              <w:marTop w:val="0"/>
              <w:marBottom w:val="0"/>
              <w:divBdr>
                <w:top w:val="none" w:sz="0" w:space="0" w:color="auto"/>
                <w:left w:val="none" w:sz="0" w:space="0" w:color="auto"/>
                <w:bottom w:val="none" w:sz="0" w:space="0" w:color="auto"/>
                <w:right w:val="none" w:sz="0" w:space="0" w:color="auto"/>
              </w:divBdr>
            </w:div>
          </w:divsChild>
        </w:div>
        <w:div w:id="717776190">
          <w:marLeft w:val="0"/>
          <w:marRight w:val="0"/>
          <w:marTop w:val="0"/>
          <w:marBottom w:val="0"/>
          <w:divBdr>
            <w:top w:val="none" w:sz="0" w:space="0" w:color="auto"/>
            <w:left w:val="none" w:sz="0" w:space="0" w:color="auto"/>
            <w:bottom w:val="none" w:sz="0" w:space="0" w:color="auto"/>
            <w:right w:val="none" w:sz="0" w:space="0" w:color="auto"/>
          </w:divBdr>
          <w:divsChild>
            <w:div w:id="573317964">
              <w:marLeft w:val="0"/>
              <w:marRight w:val="0"/>
              <w:marTop w:val="0"/>
              <w:marBottom w:val="0"/>
              <w:divBdr>
                <w:top w:val="none" w:sz="0" w:space="0" w:color="auto"/>
                <w:left w:val="none" w:sz="0" w:space="0" w:color="auto"/>
                <w:bottom w:val="none" w:sz="0" w:space="0" w:color="auto"/>
                <w:right w:val="none" w:sz="0" w:space="0" w:color="auto"/>
              </w:divBdr>
            </w:div>
          </w:divsChild>
        </w:div>
        <w:div w:id="1055662721">
          <w:marLeft w:val="0"/>
          <w:marRight w:val="0"/>
          <w:marTop w:val="0"/>
          <w:marBottom w:val="0"/>
          <w:divBdr>
            <w:top w:val="none" w:sz="0" w:space="0" w:color="auto"/>
            <w:left w:val="none" w:sz="0" w:space="0" w:color="auto"/>
            <w:bottom w:val="none" w:sz="0" w:space="0" w:color="auto"/>
            <w:right w:val="none" w:sz="0" w:space="0" w:color="auto"/>
          </w:divBdr>
          <w:divsChild>
            <w:div w:id="4983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ibvet.net/meetings-conferences/conferences-events2/physical/icahs-2-cuba-5-9-may-20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prevetmed.2013.06.0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prevetmed.2012.03.014" TargetMode="External"/><Relationship Id="rId11" Type="http://schemas.openxmlformats.org/officeDocument/2006/relationships/hyperlink" Target="https://www.alphavisa.com/icahs/2026/topics.php" TargetMode="External"/><Relationship Id="rId5" Type="http://schemas.openxmlformats.org/officeDocument/2006/relationships/hyperlink" Target="mailto:daan.vink@cirad.fr" TargetMode="External"/><Relationship Id="rId10" Type="http://schemas.openxmlformats.org/officeDocument/2006/relationships/hyperlink" Target="https://icahs4.org" TargetMode="External"/><Relationship Id="rId4" Type="http://schemas.openxmlformats.org/officeDocument/2006/relationships/webSettings" Target="webSettings.xml"/><Relationship Id="rId9" Type="http://schemas.openxmlformats.org/officeDocument/2006/relationships/hyperlink" Target="https://www.sciquest.org.nz/browse/publications/view/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5</Pages>
  <Words>2613</Words>
  <Characters>15319</Characters>
  <Application>Microsoft Office Word</Application>
  <DocSecurity>0</DocSecurity>
  <Lines>729</Lines>
  <Paragraphs>527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ICAHS5</vt:lpstr>
      <vt:lpstr/>
    </vt:vector>
  </TitlesOfParts>
  <Company>Epi-interactive</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ICAHS5</dc:title>
  <dc:subject/>
  <dc:creator>Daan Vink</dc:creator>
  <cp:keywords/>
  <dc:description/>
  <cp:lastModifiedBy>ms office2</cp:lastModifiedBy>
  <cp:revision>267</cp:revision>
  <cp:lastPrinted>2025-11-28T09:25:00Z</cp:lastPrinted>
  <dcterms:created xsi:type="dcterms:W3CDTF">2026-01-14T07:36:00Z</dcterms:created>
  <dcterms:modified xsi:type="dcterms:W3CDTF">2026-01-15T11:24:00Z</dcterms:modified>
</cp:coreProperties>
</file>